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792"/>
        </w:tabs>
        <w:kinsoku/>
        <w:wordWrap/>
        <w:overflowPunct/>
        <w:topLinePunct w:val="0"/>
        <w:autoSpaceDE/>
        <w:autoSpaceDN/>
        <w:bidi w:val="0"/>
        <w:adjustRightInd/>
        <w:snapToGrid/>
        <w:ind w:left="0" w:leftChars="0" w:right="316" w:rightChars="100" w:firstLine="0" w:firstLineChars="0"/>
        <w:jc w:val="distribute"/>
        <w:textAlignment w:val="auto"/>
        <w:rPr>
          <w:rFonts w:ascii="方正小标宋_GBK" w:eastAsia="方正小标宋_GBK"/>
          <w:b/>
          <w:w w:val="53"/>
          <w:sz w:val="96"/>
          <w:szCs w:val="96"/>
        </w:rPr>
      </w:pPr>
      <w:r>
        <w:rPr>
          <w:rFonts w:hint="eastAsia" w:ascii="方正小标宋_GBK" w:eastAsia="方正小标宋_GBK"/>
          <w:b/>
          <w:bCs/>
          <w:color w:val="FF0000"/>
          <w:w w:val="53"/>
          <w:sz w:val="96"/>
          <w:szCs w:val="96"/>
        </w:rPr>
        <w:t>重庆市黔江区人民政府电子公文</w:t>
      </w:r>
    </w:p>
    <w:p>
      <w:pPr>
        <w:snapToGrid/>
        <w:spacing w:before="0" w:beforeAutospacing="0" w:after="0" w:afterAutospacing="0" w:line="560" w:lineRule="exact"/>
        <w:jc w:val="both"/>
        <w:textAlignment w:val="baseline"/>
        <w:rPr>
          <w:rFonts w:hint="eastAsia" w:ascii="方正仿宋_GBK" w:hAnsi="方正仿宋_GBK" w:eastAsia="方正仿宋_GBK" w:cs="方正仿宋_GBK"/>
          <w:sz w:val="32"/>
          <w:szCs w:val="32"/>
        </w:rPr>
      </w:pPr>
      <w:r>
        <w:rPr>
          <w:rStyle w:val="8"/>
          <w:rFonts w:ascii="Times New Roman" w:hAnsi="Times New Roman" w:eastAsia="方正仿宋_GBK"/>
          <w:b w:val="0"/>
          <w:i w:val="0"/>
          <w:caps w:val="0"/>
          <w:color w:val="000000"/>
          <w:spacing w:val="0"/>
          <w:w w:val="100"/>
          <w:kern w:val="2"/>
          <w:sz w:val="32"/>
          <w:szCs w:val="32"/>
          <w:lang w:val="en-US" w:eastAsia="zh-CN" w:bidi="ar-SA"/>
        </w:rPr>
        <w:t>黔江府发〔2021〕</w:t>
      </w:r>
      <w:r>
        <w:rPr>
          <w:rStyle w:val="8"/>
          <w:rFonts w:hint="eastAsia"/>
          <w:b w:val="0"/>
          <w:i w:val="0"/>
          <w:caps w:val="0"/>
          <w:color w:val="000000"/>
          <w:spacing w:val="0"/>
          <w:w w:val="100"/>
          <w:kern w:val="2"/>
          <w:sz w:val="32"/>
          <w:szCs w:val="32"/>
          <w:lang w:val="en-US" w:eastAsia="zh-CN" w:bidi="ar-SA"/>
        </w:rPr>
        <w:t>56</w:t>
      </w:r>
      <w:r>
        <w:rPr>
          <w:rStyle w:val="8"/>
          <w:rFonts w:ascii="Times New Roman" w:hAnsi="Times New Roman" w:eastAsia="方正仿宋_GBK"/>
          <w:b w:val="0"/>
          <w:i w:val="0"/>
          <w:caps w:val="0"/>
          <w:color w:val="000000"/>
          <w:spacing w:val="0"/>
          <w:w w:val="100"/>
          <w:kern w:val="2"/>
          <w:sz w:val="32"/>
          <w:szCs w:val="32"/>
          <w:lang w:val="en-US" w:eastAsia="zh-CN" w:bidi="ar-SA"/>
        </w:rPr>
        <w:t>号</w:t>
      </w:r>
      <w:r>
        <w:rPr>
          <w:rFonts w:hint="eastAsia" w:ascii="方正仿宋_GBK" w:hAnsi="方正仿宋_GBK" w:eastAsia="方正仿宋_GBK" w:cs="方正仿宋_GBK"/>
          <w:sz w:val="32"/>
          <w:szCs w:val="32"/>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cs="方正仿宋_GBK"/>
          <w:sz w:val="32"/>
          <w:szCs w:val="32"/>
          <w:lang w:val="en-US" w:eastAsia="zh-CN"/>
        </w:rPr>
        <w:t xml:space="preserve">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电子公文专用章</w:t>
      </w:r>
    </w:p>
    <w:p>
      <w:pPr>
        <w:keepNext w:val="0"/>
        <w:keepLines w:val="0"/>
        <w:pageBreakBefore w:val="0"/>
        <w:widowControl w:val="0"/>
        <w:kinsoku/>
        <w:wordWrap/>
        <w:overflowPunct/>
        <w:topLinePunct w:val="0"/>
        <w:autoSpaceDE/>
        <w:autoSpaceDN/>
        <w:bidi w:val="0"/>
        <w:adjustRightInd/>
        <w:snapToGrid/>
        <w:spacing w:line="530" w:lineRule="exact"/>
        <w:ind w:left="0" w:leftChars="0" w:firstLine="0" w:firstLine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t xml:space="preserve">    核收：</w:t>
      </w:r>
    </w:p>
    <w:p>
      <w:pPr>
        <w:snapToGrid/>
        <w:spacing w:before="0" w:beforeAutospacing="0" w:after="0" w:afterAutospacing="0" w:line="240" w:lineRule="auto"/>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p>
    <w:p>
      <w:pPr>
        <w:snapToGrid/>
        <w:spacing w:before="0" w:beforeAutospacing="0" w:after="0" w:afterAutospacing="0" w:line="240" w:lineRule="auto"/>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p>
    <w:p>
      <w:pPr>
        <w:snapToGrid/>
        <w:spacing w:before="0" w:beforeAutospacing="0" w:after="0" w:afterAutospacing="0" w:line="240" w:lineRule="auto"/>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p>
    <w:p>
      <w:pPr>
        <w:snapToGrid/>
        <w:spacing w:before="0" w:beforeAutospacing="0" w:after="0" w:afterAutospacing="0" w:line="240" w:lineRule="auto"/>
        <w:jc w:val="center"/>
        <w:textAlignment w:val="baseline"/>
        <w:rPr>
          <w:rStyle w:val="8"/>
          <w:rFonts w:ascii="Times New Roman" w:hAnsi="Times New Roman" w:eastAsia="方正仿宋_GBK"/>
          <w:b w:val="0"/>
          <w:i w:val="0"/>
          <w:caps w:val="0"/>
          <w:color w:val="000000"/>
          <w:spacing w:val="0"/>
          <w:w w:val="100"/>
          <w:kern w:val="2"/>
          <w:sz w:val="32"/>
          <w:lang w:val="en-US" w:eastAsia="zh-CN" w:bidi="ar-SA"/>
        </w:rPr>
      </w:pPr>
    </w:p>
    <w:p>
      <w:pPr>
        <w:snapToGrid/>
        <w:spacing w:before="0" w:beforeAutospacing="0" w:after="0" w:afterAutospacing="0" w:line="595" w:lineRule="exact"/>
        <w:jc w:val="center"/>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bookmarkStart w:id="80" w:name="_GoBack"/>
      <w:r>
        <w:rPr>
          <w:rStyle w:val="8"/>
          <w:rFonts w:ascii="Times New Roman" w:hAnsi="Times New Roman" w:eastAsia="方正小标宋_GBK"/>
          <w:b w:val="0"/>
          <w:i w:val="0"/>
          <w:caps w:val="0"/>
          <w:color w:val="000000"/>
          <w:spacing w:val="0"/>
          <w:w w:val="100"/>
          <w:kern w:val="2"/>
          <w:sz w:val="44"/>
          <w:szCs w:val="44"/>
          <w:lang w:val="en-US" w:eastAsia="zh-CN" w:bidi="ar-SA"/>
        </w:rPr>
        <w:t>重庆市黔江区人民政府</w:t>
      </w:r>
    </w:p>
    <w:p>
      <w:pPr>
        <w:snapToGrid/>
        <w:spacing w:before="0" w:beforeAutospacing="0" w:after="0" w:afterAutospacing="0" w:line="595" w:lineRule="exact"/>
        <w:jc w:val="center"/>
        <w:textAlignment w:val="baseline"/>
        <w:rPr>
          <w:rStyle w:val="8"/>
          <w:rFonts w:ascii="Times New Roman" w:hAnsi="Times New Roman" w:eastAsia="方正小标宋_GBK"/>
          <w:b w:val="0"/>
          <w:i w:val="0"/>
          <w:caps w:val="0"/>
          <w:spacing w:val="0"/>
          <w:w w:val="100"/>
          <w:kern w:val="2"/>
          <w:sz w:val="44"/>
          <w:szCs w:val="44"/>
          <w:lang w:val="en-US" w:eastAsia="zh-CN" w:bidi="ar-SA"/>
        </w:rPr>
      </w:pPr>
      <w:r>
        <w:rPr>
          <w:rStyle w:val="8"/>
          <w:rFonts w:ascii="Times New Roman" w:hAnsi="Times New Roman" w:eastAsia="方正小标宋_GBK"/>
          <w:b w:val="0"/>
          <w:i w:val="0"/>
          <w:caps w:val="0"/>
          <w:color w:val="000000"/>
          <w:spacing w:val="0"/>
          <w:w w:val="100"/>
          <w:kern w:val="2"/>
          <w:sz w:val="44"/>
          <w:szCs w:val="44"/>
          <w:lang w:val="en-US" w:eastAsia="zh-CN" w:bidi="ar-SA"/>
        </w:rPr>
        <w:t>关于印发</w:t>
      </w:r>
      <w:r>
        <w:rPr>
          <w:rStyle w:val="8"/>
          <w:rFonts w:ascii="Times New Roman" w:hAnsi="Times New Roman" w:eastAsia="方正小标宋_GBK"/>
          <w:b w:val="0"/>
          <w:i w:val="0"/>
          <w:caps w:val="0"/>
          <w:spacing w:val="0"/>
          <w:w w:val="100"/>
          <w:kern w:val="2"/>
          <w:sz w:val="44"/>
          <w:szCs w:val="44"/>
          <w:lang w:val="en-US" w:eastAsia="zh-CN" w:bidi="ar-SA"/>
        </w:rPr>
        <w:t>黔江区服务业高质量发展</w:t>
      </w:r>
    </w:p>
    <w:p>
      <w:pPr>
        <w:snapToGrid/>
        <w:spacing w:before="0" w:beforeAutospacing="0" w:after="0" w:afterAutospacing="0" w:line="595" w:lineRule="exact"/>
        <w:jc w:val="center"/>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r>
        <w:rPr>
          <w:rStyle w:val="8"/>
          <w:rFonts w:ascii="Times New Roman" w:hAnsi="Times New Roman" w:eastAsia="方正小标宋_GBK"/>
          <w:b w:val="0"/>
          <w:i w:val="0"/>
          <w:caps w:val="0"/>
          <w:spacing w:val="0"/>
          <w:w w:val="100"/>
          <w:kern w:val="2"/>
          <w:sz w:val="44"/>
          <w:szCs w:val="44"/>
          <w:lang w:val="en-US" w:eastAsia="zh-CN" w:bidi="ar-SA"/>
        </w:rPr>
        <w:t>“十四五”规划</w:t>
      </w:r>
      <w:r>
        <w:rPr>
          <w:rStyle w:val="8"/>
          <w:rFonts w:ascii="Times New Roman" w:hAnsi="Times New Roman" w:eastAsia="方正小标宋_GBK"/>
          <w:b w:val="0"/>
          <w:i w:val="0"/>
          <w:caps w:val="0"/>
          <w:spacing w:val="-9"/>
          <w:w w:val="100"/>
          <w:kern w:val="2"/>
          <w:sz w:val="44"/>
          <w:szCs w:val="44"/>
          <w:lang w:val="en-US" w:eastAsia="zh-CN" w:bidi="ar-SA"/>
        </w:rPr>
        <w:t>的通</w:t>
      </w:r>
      <w:r>
        <w:rPr>
          <w:rStyle w:val="8"/>
          <w:rFonts w:ascii="Times New Roman" w:hAnsi="Times New Roman" w:eastAsia="方正小标宋_GBK"/>
          <w:b w:val="0"/>
          <w:i w:val="0"/>
          <w:caps w:val="0"/>
          <w:color w:val="000000"/>
          <w:spacing w:val="0"/>
          <w:w w:val="100"/>
          <w:kern w:val="2"/>
          <w:sz w:val="44"/>
          <w:szCs w:val="44"/>
          <w:lang w:val="en-US" w:eastAsia="zh-CN" w:bidi="ar-SA"/>
        </w:rPr>
        <w:t>知</w:t>
      </w:r>
    </w:p>
    <w:bookmarkEnd w:id="80"/>
    <w:p>
      <w:pPr>
        <w:pStyle w:val="2"/>
        <w:widowControl/>
        <w:snapToGrid/>
        <w:spacing w:before="0" w:beforeAutospacing="0" w:after="0" w:afterAutospacing="0" w:line="595" w:lineRule="exact"/>
        <w:jc w:val="both"/>
        <w:textAlignment w:val="baseline"/>
        <w:rPr>
          <w:rStyle w:val="8"/>
          <w:rFonts w:ascii="Times New Roman" w:hAnsi="Times New Roman" w:eastAsia="宋体"/>
          <w:b w:val="0"/>
          <w:i w:val="0"/>
          <w:caps w:val="0"/>
          <w:color w:val="000000"/>
          <w:spacing w:val="0"/>
          <w:w w:val="100"/>
          <w:kern w:val="2"/>
          <w:sz w:val="21"/>
          <w:szCs w:val="32"/>
          <w:lang w:val="en-US" w:eastAsia="zh-CN" w:bidi="ar-SA"/>
        </w:rPr>
      </w:pPr>
      <w:r>
        <w:rPr>
          <w:rStyle w:val="8"/>
          <w:rFonts w:ascii="Times New Roman" w:hAnsi="Times New Roman" w:eastAsia="宋体"/>
          <w:b w:val="0"/>
          <w:i w:val="0"/>
          <w:caps w:val="0"/>
          <w:color w:val="000000"/>
          <w:spacing w:val="0"/>
          <w:w w:val="100"/>
          <w:kern w:val="2"/>
          <w:sz w:val="21"/>
          <w:szCs w:val="32"/>
          <w:lang w:val="en-US" w:eastAsia="zh-CN" w:bidi="ar-SA"/>
        </w:rPr>
        <w:t xml:space="preserve"> </w:t>
      </w:r>
    </w:p>
    <w:p>
      <w:pPr>
        <w:snapToGrid/>
        <w:spacing w:before="0" w:beforeAutospacing="0" w:after="0" w:afterAutospacing="0" w:line="560" w:lineRule="exact"/>
        <w:ind w:right="0"/>
        <w:jc w:val="both"/>
        <w:textAlignment w:val="baseline"/>
        <w:rPr>
          <w:rStyle w:val="8"/>
          <w:rFonts w:ascii="方正仿宋_GBK" w:hAnsi="方正仿宋_GBK" w:eastAsia="方正仿宋_GBK"/>
          <w:b w:val="0"/>
          <w:i w:val="0"/>
          <w:caps w:val="0"/>
          <w:color w:val="000000"/>
          <w:spacing w:val="0"/>
          <w:w w:val="100"/>
          <w:kern w:val="2"/>
          <w:sz w:val="32"/>
          <w:szCs w:val="32"/>
          <w:lang w:val="en-US" w:eastAsia="zh-CN" w:bidi="ar-SA"/>
        </w:rPr>
      </w:pPr>
      <w:r>
        <w:rPr>
          <w:rStyle w:val="8"/>
          <w:rFonts w:ascii="方正仿宋_GBK" w:hAnsi="方正仿宋_GBK" w:eastAsia="方正仿宋_GBK"/>
          <w:b w:val="0"/>
          <w:i w:val="0"/>
          <w:caps w:val="0"/>
          <w:color w:val="000000"/>
          <w:spacing w:val="0"/>
          <w:w w:val="100"/>
          <w:kern w:val="2"/>
          <w:sz w:val="32"/>
          <w:szCs w:val="32"/>
          <w:lang w:val="en-US" w:eastAsia="zh-CN" w:bidi="ar-SA"/>
        </w:rPr>
        <w:t xml:space="preserve">各乡、镇人民政府，各街道办事处，区政府各部门，有关单位： </w:t>
      </w:r>
    </w:p>
    <w:p>
      <w:pPr>
        <w:snapToGrid/>
        <w:spacing w:before="0" w:beforeAutospacing="0" w:after="0" w:afterAutospacing="0" w:line="520" w:lineRule="exact"/>
        <w:ind w:left="0" w:leftChars="0" w:right="0" w:firstLine="640"/>
        <w:jc w:val="both"/>
        <w:textAlignment w:val="baseline"/>
        <w:rPr>
          <w:rStyle w:val="8"/>
          <w:rFonts w:ascii="方正仿宋_GBK" w:hAnsi="方正仿宋_GBK" w:eastAsia="方正仿宋_GBK"/>
          <w:b w:val="0"/>
          <w:i w:val="0"/>
          <w:caps w:val="0"/>
          <w:spacing w:val="0"/>
          <w:w w:val="100"/>
          <w:kern w:val="2"/>
          <w:sz w:val="32"/>
          <w:szCs w:val="32"/>
          <w:lang w:val="en-US" w:eastAsia="zh-CN" w:bidi="ar-SA"/>
        </w:rPr>
      </w:pPr>
      <w:r>
        <w:rPr>
          <w:rStyle w:val="8"/>
          <w:rFonts w:ascii="方正仿宋_GBK" w:hAnsi="方正仿宋_GBK" w:eastAsia="方正仿宋_GBK"/>
          <w:b w:val="0"/>
          <w:i w:val="0"/>
          <w:caps w:val="0"/>
          <w:spacing w:val="0"/>
          <w:w w:val="100"/>
          <w:kern w:val="2"/>
          <w:sz w:val="32"/>
          <w:szCs w:val="32"/>
          <w:lang w:val="en-US" w:eastAsia="zh-CN" w:bidi="ar-SA"/>
        </w:rPr>
        <w:t>《黔江区服务业高质量发展“十四五”规划》已经区政府同意，现印发给你们，请认真贯彻执行。</w:t>
      </w:r>
    </w:p>
    <w:p>
      <w:pPr>
        <w:pStyle w:val="2"/>
        <w:snapToGrid/>
        <w:spacing w:before="0" w:beforeAutospacing="0" w:after="0" w:afterAutospacing="0" w:line="580" w:lineRule="exact"/>
        <w:ind w:left="0" w:leftChars="0" w:right="0"/>
        <w:jc w:val="both"/>
        <w:textAlignment w:val="baseline"/>
        <w:rPr>
          <w:rStyle w:val="8"/>
          <w:rFonts w:ascii="宋体" w:hAnsi="Courier New" w:eastAsia="宋体"/>
          <w:b w:val="0"/>
          <w:i w:val="0"/>
          <w:caps w:val="0"/>
          <w:spacing w:val="0"/>
          <w:w w:val="100"/>
          <w:kern w:val="2"/>
          <w:sz w:val="21"/>
          <w:szCs w:val="21"/>
          <w:lang w:val="en-US" w:eastAsia="zh-CN" w:bidi="ar-SA"/>
        </w:rPr>
      </w:pPr>
    </w:p>
    <w:p>
      <w:pPr>
        <w:pStyle w:val="2"/>
        <w:snapToGrid/>
        <w:spacing w:before="0" w:beforeAutospacing="0" w:after="0" w:afterAutospacing="0" w:line="580" w:lineRule="exact"/>
        <w:ind w:left="0" w:leftChars="0" w:right="0"/>
        <w:jc w:val="both"/>
        <w:textAlignment w:val="baseline"/>
        <w:rPr>
          <w:rStyle w:val="8"/>
          <w:rFonts w:ascii="宋体" w:hAnsi="Courier New" w:eastAsia="宋体"/>
          <w:b w:val="0"/>
          <w:i w:val="0"/>
          <w:caps w:val="0"/>
          <w:spacing w:val="0"/>
          <w:w w:val="100"/>
          <w:kern w:val="2"/>
          <w:sz w:val="21"/>
          <w:szCs w:val="21"/>
          <w:lang w:val="en-US" w:eastAsia="zh-CN" w:bidi="ar-SA"/>
        </w:rPr>
      </w:pPr>
    </w:p>
    <w:p>
      <w:pPr>
        <w:snapToGrid/>
        <w:spacing w:before="0" w:beforeAutospacing="0" w:after="0" w:afterAutospacing="0" w:line="580" w:lineRule="exact"/>
        <w:ind w:right="0" w:firstLine="4424" w:firstLineChars="1400"/>
        <w:jc w:val="both"/>
        <w:textAlignment w:val="baseline"/>
        <w:rPr>
          <w:rStyle w:val="8"/>
          <w:rFonts w:ascii="Times New Roman" w:hAnsi="Times New Roman" w:eastAsia="方正仿宋_GBK"/>
          <w:b w:val="0"/>
          <w:i w:val="0"/>
          <w:caps w:val="0"/>
          <w:spacing w:val="0"/>
          <w:w w:val="100"/>
          <w:kern w:val="2"/>
          <w:sz w:val="32"/>
          <w:szCs w:val="32"/>
          <w:lang w:val="en-US" w:eastAsia="zh-CN" w:bidi="ar-SA"/>
        </w:rPr>
      </w:pPr>
      <w:r>
        <w:rPr>
          <w:rStyle w:val="8"/>
          <w:rFonts w:ascii="Times New Roman" w:hAnsi="Times New Roman" w:eastAsia="方正仿宋_GBK"/>
          <w:b w:val="0"/>
          <w:i w:val="0"/>
          <w:caps w:val="0"/>
          <w:spacing w:val="0"/>
          <w:w w:val="100"/>
          <w:kern w:val="2"/>
          <w:sz w:val="32"/>
          <w:szCs w:val="32"/>
          <w:lang w:val="en-US" w:eastAsia="zh-CN" w:bidi="ar-SA"/>
        </w:rPr>
        <w:t>重庆市黔江区人民政府</w:t>
      </w:r>
    </w:p>
    <w:p>
      <w:pPr>
        <w:snapToGrid/>
        <w:spacing w:before="0" w:beforeAutospacing="0" w:after="0" w:afterAutospacing="0" w:line="580" w:lineRule="exact"/>
        <w:ind w:left="0" w:leftChars="0" w:right="0" w:firstLine="4898" w:firstLineChars="1550"/>
        <w:jc w:val="both"/>
        <w:textAlignment w:val="baseline"/>
        <w:rPr>
          <w:rStyle w:val="8"/>
          <w:rFonts w:ascii="Times New Roman" w:hAnsi="Times New Roman" w:eastAsia="方正仿宋_GBK"/>
          <w:b w:val="0"/>
          <w:i w:val="0"/>
          <w:caps w:val="0"/>
          <w:spacing w:val="0"/>
          <w:w w:val="100"/>
          <w:kern w:val="2"/>
          <w:sz w:val="32"/>
          <w:szCs w:val="32"/>
          <w:lang w:val="en-US" w:eastAsia="zh-CN" w:bidi="ar-SA"/>
        </w:rPr>
      </w:pPr>
      <w:r>
        <w:rPr>
          <w:rStyle w:val="8"/>
          <w:rFonts w:ascii="Times New Roman" w:hAnsi="Times New Roman" w:eastAsia="方正仿宋_GBK"/>
          <w:b w:val="0"/>
          <w:i w:val="0"/>
          <w:caps w:val="0"/>
          <w:spacing w:val="0"/>
          <w:w w:val="100"/>
          <w:kern w:val="2"/>
          <w:sz w:val="32"/>
          <w:szCs w:val="32"/>
          <w:lang w:val="en-US" w:eastAsia="zh-CN" w:bidi="ar-SA"/>
        </w:rPr>
        <w:t>2021年9月</w:t>
      </w:r>
      <w:r>
        <w:rPr>
          <w:rStyle w:val="8"/>
          <w:rFonts w:hint="eastAsia"/>
          <w:b w:val="0"/>
          <w:i w:val="0"/>
          <w:caps w:val="0"/>
          <w:spacing w:val="0"/>
          <w:w w:val="100"/>
          <w:kern w:val="2"/>
          <w:sz w:val="32"/>
          <w:szCs w:val="32"/>
          <w:lang w:val="en-US" w:eastAsia="zh-CN" w:bidi="ar-SA"/>
        </w:rPr>
        <w:t>6</w:t>
      </w:r>
      <w:r>
        <w:rPr>
          <w:rStyle w:val="8"/>
          <w:rFonts w:ascii="Times New Roman" w:hAnsi="Times New Roman" w:eastAsia="方正仿宋_GBK"/>
          <w:b w:val="0"/>
          <w:i w:val="0"/>
          <w:caps w:val="0"/>
          <w:spacing w:val="0"/>
          <w:w w:val="100"/>
          <w:kern w:val="2"/>
          <w:sz w:val="32"/>
          <w:szCs w:val="32"/>
          <w:lang w:val="en-US" w:eastAsia="zh-CN" w:bidi="ar-SA"/>
        </w:rPr>
        <w:t>日</w:t>
      </w:r>
    </w:p>
    <w:p>
      <w:pPr>
        <w:pStyle w:val="2"/>
        <w:widowControl/>
        <w:snapToGrid/>
        <w:spacing w:before="0" w:beforeAutospacing="0" w:after="0" w:afterAutospacing="0" w:line="594" w:lineRule="exact"/>
        <w:jc w:val="both"/>
        <w:textAlignment w:val="baseline"/>
        <w:rPr>
          <w:rStyle w:val="8"/>
          <w:rFonts w:ascii="Times New Roman" w:hAnsi="Times New Roman" w:eastAsia="方正仿宋_GBK"/>
          <w:b w:val="0"/>
          <w:i w:val="0"/>
          <w:caps w:val="0"/>
          <w:spacing w:val="0"/>
          <w:w w:val="100"/>
          <w:kern w:val="2"/>
          <w:sz w:val="32"/>
          <w:szCs w:val="32"/>
          <w:lang w:val="en-US" w:eastAsia="zh-CN" w:bidi="ar-SA"/>
        </w:rPr>
        <w:sectPr>
          <w:headerReference r:id="rId3" w:type="default"/>
          <w:footerReference r:id="rId5" w:type="default"/>
          <w:headerReference r:id="rId4" w:type="even"/>
          <w:footerReference r:id="rId6" w:type="even"/>
          <w:pgSz w:w="11906" w:h="16838"/>
          <w:pgMar w:top="2098" w:right="1531" w:bottom="1985" w:left="1531" w:header="851" w:footer="1474" w:gutter="0"/>
          <w:lnNumType w:countBy="0"/>
          <w:pgNumType w:fmt="decimal"/>
          <w:cols w:space="425" w:num="1"/>
          <w:docGrid w:type="linesAndChars" w:linePitch="579" w:charSpace="-849"/>
        </w:sectPr>
      </w:pPr>
      <w:r>
        <w:rPr>
          <w:rStyle w:val="8"/>
          <w:rFonts w:ascii="Times New Roman" w:hAnsi="Times New Roman" w:eastAsia="方正仿宋_GBK"/>
          <w:b w:val="0"/>
          <w:i w:val="0"/>
          <w:caps w:val="0"/>
          <w:spacing w:val="0"/>
          <w:w w:val="100"/>
          <w:kern w:val="2"/>
          <w:sz w:val="32"/>
          <w:szCs w:val="32"/>
          <w:lang w:val="en-US" w:eastAsia="zh-CN" w:bidi="ar-SA"/>
        </w:rPr>
        <w:t xml:space="preserve">    （此件公开发布）</w:t>
      </w:r>
    </w:p>
    <w:p>
      <w:pPr>
        <w:pStyle w:val="2"/>
        <w:widowControl/>
        <w:pBdr>
          <w:top w:val="none" w:color="auto" w:sz="0" w:space="0"/>
          <w:left w:val="none" w:color="auto" w:sz="0" w:space="0"/>
          <w:bottom w:val="none" w:color="auto" w:sz="0" w:space="0"/>
          <w:right w:val="none" w:color="auto" w:sz="0" w:space="0"/>
        </w:pBdr>
        <w:snapToGrid/>
        <w:spacing w:before="0" w:beforeAutospacing="0" w:after="0" w:afterAutospacing="0" w:line="560" w:lineRule="exact"/>
        <w:ind w:right="0"/>
        <w:jc w:val="center"/>
        <w:textAlignment w:val="baseline"/>
        <w:rPr>
          <w:rStyle w:val="8"/>
          <w:rFonts w:ascii="方正小标宋_GBK" w:hAnsi="方正小标宋_GBK" w:eastAsia="方正小标宋_GBK"/>
          <w:b w:val="0"/>
          <w:i w:val="0"/>
          <w:caps w:val="0"/>
          <w:color w:val="000000"/>
          <w:spacing w:val="0"/>
          <w:w w:val="100"/>
          <w:kern w:val="2"/>
          <w:sz w:val="44"/>
          <w:szCs w:val="44"/>
          <w:lang w:val="en-US" w:eastAsia="zh-CN" w:bidi="ar-SA"/>
        </w:rPr>
      </w:pPr>
    </w:p>
    <w:p>
      <w:pPr>
        <w:pStyle w:val="18"/>
        <w:widowControl/>
        <w:pBdr>
          <w:top w:val="none" w:color="auto" w:sz="0" w:space="0"/>
          <w:left w:val="none" w:color="auto" w:sz="0" w:space="0"/>
          <w:bottom w:val="none" w:color="auto" w:sz="0" w:space="0"/>
          <w:right w:val="none" w:color="auto" w:sz="0" w:space="0"/>
        </w:pBdr>
        <w:snapToGrid/>
        <w:spacing w:before="0" w:beforeAutospacing="1" w:after="0" w:afterAutospacing="1" w:line="560" w:lineRule="exact"/>
        <w:ind w:left="0" w:right="0"/>
        <w:jc w:val="center"/>
        <w:textAlignment w:val="baseline"/>
        <w:rPr>
          <w:rStyle w:val="8"/>
          <w:rFonts w:ascii="方正小标宋_GBK" w:hAnsi="方正小标宋_GBK" w:eastAsia="方正小标宋_GBK"/>
          <w:b w:val="0"/>
          <w:i w:val="0"/>
          <w:caps w:val="0"/>
          <w:color w:val="000000"/>
          <w:spacing w:val="0"/>
          <w:w w:val="100"/>
          <w:kern w:val="0"/>
          <w:sz w:val="44"/>
          <w:szCs w:val="44"/>
          <w:lang w:val="en-US" w:eastAsia="zh-CN"/>
        </w:rPr>
      </w:pPr>
    </w:p>
    <w:p>
      <w:pPr>
        <w:pStyle w:val="18"/>
        <w:widowControl/>
        <w:pBdr>
          <w:top w:val="none" w:color="auto" w:sz="0" w:space="0"/>
          <w:left w:val="none" w:color="auto" w:sz="0" w:space="0"/>
          <w:bottom w:val="none" w:color="auto" w:sz="0" w:space="0"/>
          <w:right w:val="none" w:color="auto" w:sz="0" w:space="0"/>
        </w:pBdr>
        <w:snapToGrid/>
        <w:spacing w:before="0" w:beforeAutospacing="1" w:after="0" w:afterAutospacing="1" w:line="560" w:lineRule="exact"/>
        <w:ind w:left="0" w:right="0"/>
        <w:jc w:val="center"/>
        <w:textAlignment w:val="baseline"/>
        <w:rPr>
          <w:rStyle w:val="8"/>
          <w:rFonts w:ascii="方正小标宋_GBK" w:hAnsi="方正小标宋_GBK" w:eastAsia="方正小标宋_GBK"/>
          <w:b w:val="0"/>
          <w:i w:val="0"/>
          <w:caps w:val="0"/>
          <w:color w:val="000000"/>
          <w:spacing w:val="0"/>
          <w:w w:val="100"/>
          <w:kern w:val="0"/>
          <w:sz w:val="44"/>
          <w:szCs w:val="44"/>
          <w:lang w:val="en-US" w:eastAsia="zh-CN"/>
        </w:rPr>
      </w:pPr>
      <w:r>
        <w:rPr>
          <w:rStyle w:val="8"/>
          <w:rFonts w:ascii="方正小标宋_GBK" w:hAnsi="方正小标宋_GBK" w:eastAsia="方正小标宋_GBK"/>
          <w:b w:val="0"/>
          <w:i w:val="0"/>
          <w:caps w:val="0"/>
          <w:color w:val="000000"/>
          <w:spacing w:val="0"/>
          <w:w w:val="100"/>
          <w:kern w:val="0"/>
          <w:sz w:val="44"/>
          <w:szCs w:val="44"/>
          <w:lang w:val="en-US" w:eastAsia="zh-CN"/>
        </w:rPr>
        <w:t>黔江区服务业高质量发展“十四五”规划</w:t>
      </w: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p>
    <w:p>
      <w:pPr>
        <w:snapToGrid/>
        <w:spacing w:before="0" w:beforeAutospacing="0" w:after="0" w:afterAutospacing="0" w:line="400"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pPr>
      <w:r>
        <w:rPr>
          <w:rStyle w:val="8"/>
          <w:rFonts w:ascii="Times New Roman" w:hAnsi="Times New Roman" w:eastAsia="方正黑体_GBK"/>
          <w:b w:val="0"/>
          <w:bCs w:val="0"/>
          <w:i w:val="0"/>
          <w:caps w:val="0"/>
          <w:color w:val="000000"/>
          <w:spacing w:val="0"/>
          <w:w w:val="100"/>
          <w:kern w:val="2"/>
          <w:sz w:val="32"/>
          <w:szCs w:val="32"/>
          <w:lang w:val="en-US" w:eastAsia="zh-CN" w:bidi="ar-SA"/>
        </w:rPr>
        <w:t>2021年9月</w:t>
      </w:r>
    </w:p>
    <w:p>
      <w:pPr>
        <w:snapToGrid/>
        <w:spacing w:before="0" w:beforeAutospacing="0" w:after="0" w:afterAutospacing="0" w:line="579" w:lineRule="exact"/>
        <w:jc w:val="center"/>
        <w:textAlignment w:val="baseline"/>
        <w:rPr>
          <w:rStyle w:val="8"/>
          <w:rFonts w:ascii="Times New Roman" w:hAnsi="Times New Roman" w:eastAsia="方正黑体_GBK"/>
          <w:b w:val="0"/>
          <w:bCs w:val="0"/>
          <w:i w:val="0"/>
          <w:caps w:val="0"/>
          <w:color w:val="000000"/>
          <w:spacing w:val="0"/>
          <w:w w:val="100"/>
          <w:kern w:val="2"/>
          <w:sz w:val="32"/>
          <w:szCs w:val="32"/>
          <w:lang w:val="en-US" w:eastAsia="zh-CN" w:bidi="ar-SA"/>
        </w:rPr>
        <w:sectPr>
          <w:footerReference r:id="rId7" w:type="default"/>
          <w:footerReference r:id="rId8" w:type="even"/>
          <w:pgSz w:w="11906" w:h="16838"/>
          <w:pgMar w:top="2098" w:right="1474" w:bottom="1984" w:left="1587" w:header="851" w:footer="1474" w:gutter="0"/>
          <w:lnNumType w:countBy="0"/>
          <w:pgNumType w:fmt="decimal" w:start="1"/>
          <w:cols w:space="425" w:num="1"/>
          <w:docGrid w:type="linesAndChars" w:linePitch="589" w:charSpace="-842"/>
        </w:sectPr>
      </w:pPr>
    </w:p>
    <w:p>
      <w:pPr>
        <w:snapToGrid/>
        <w:spacing w:before="0" w:beforeAutospacing="0" w:after="0" w:afterAutospacing="0" w:line="579" w:lineRule="exact"/>
        <w:jc w:val="center"/>
        <w:textAlignment w:val="baseline"/>
        <w:rPr>
          <w:rStyle w:val="8"/>
          <w:rFonts w:eastAsia="方正仿宋_GBK"/>
          <w:b w:val="0"/>
          <w:i w:val="0"/>
          <w:caps w:val="0"/>
          <w:spacing w:val="0"/>
          <w:w w:val="100"/>
          <w:kern w:val="2"/>
          <w:sz w:val="32"/>
          <w:lang w:val="en-US" w:eastAsia="zh-CN" w:bidi="ar-SA"/>
        </w:rPr>
      </w:pPr>
      <w:r>
        <w:rPr>
          <w:rStyle w:val="8"/>
          <w:rFonts w:ascii="Times New Roman" w:hAnsi="Times New Roman" w:eastAsia="方正黑体_GBK"/>
          <w:b w:val="0"/>
          <w:bCs w:val="0"/>
          <w:i w:val="0"/>
          <w:caps w:val="0"/>
          <w:color w:val="000000"/>
          <w:spacing w:val="0"/>
          <w:w w:val="100"/>
          <w:kern w:val="2"/>
          <w:sz w:val="36"/>
          <w:szCs w:val="36"/>
          <w:lang w:val="en-US" w:eastAsia="zh-CN" w:bidi="ar-SA"/>
        </w:rPr>
        <w:t>目   录</w:t>
      </w:r>
    </w:p>
    <w:sdt>
      <w:sdtPr>
        <w:rPr>
          <w:rFonts w:ascii="宋体" w:hAnsi="宋体" w:eastAsia="宋体" w:cstheme="minorBidi"/>
          <w:kern w:val="2"/>
          <w:sz w:val="21"/>
          <w:lang w:val="en-US" w:eastAsia="zh-CN" w:bidi="ar-SA"/>
        </w:rPr>
        <w:id w:val="147455383"/>
        <w:docPartObj>
          <w:docPartGallery w:val="Table of Contents"/>
          <w:docPartUnique/>
        </w:docPartObj>
      </w:sdtPr>
      <w:sdtEndPr>
        <w:rPr>
          <w:rFonts w:ascii="宋体" w:hAnsi="宋体" w:eastAsia="宋体" w:cstheme="minorBidi"/>
          <w:b/>
          <w:bCs/>
          <w:kern w:val="2"/>
          <w:sz w:val="20"/>
          <w:szCs w:val="20"/>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bookmarkStart w:id="0" w:name="_Toc4424_WPSOffice_Type2"/>
        </w:p>
        <w:p>
          <w:pPr>
            <w:pStyle w:val="27"/>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_Toc4424_WPSOffice_Level1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4ad9353d-16e2-4b31-ad26-c02730d031f1}"/>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黑体_GBK" w:hAnsi="方正黑体_GBK" w:eastAsia="方正黑体_GBK" w:cs="方正黑体_GBK"/>
                  <w:b w:val="0"/>
                  <w:bCs w:val="0"/>
                  <w:sz w:val="32"/>
                  <w:szCs w:val="32"/>
                </w:rPr>
                <w:t>一、黔江区服务业发展基础及背景</w:t>
              </w:r>
            </w:sdtContent>
          </w:sdt>
          <w:r>
            <w:rPr>
              <w:b w:val="0"/>
              <w:bCs w:val="0"/>
              <w:sz w:val="32"/>
              <w:szCs w:val="32"/>
            </w:rPr>
            <w:tab/>
          </w:r>
          <w:bookmarkStart w:id="1" w:name="_Toc4424_WPSOffice_Level1Page"/>
          <w:r>
            <w:rPr>
              <w:b w:val="0"/>
              <w:bCs w:val="0"/>
              <w:sz w:val="32"/>
              <w:szCs w:val="32"/>
            </w:rPr>
            <w:t>1</w:t>
          </w:r>
          <w:bookmarkEnd w:id="1"/>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_Toc4424_WPSOffice_Level2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2e0c4fd0-51d3-4a41-8582-3c5c976afa54}"/>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（一） “十三五”以来服务业发展现状及问题</w:t>
              </w:r>
            </w:sdtContent>
          </w:sdt>
          <w:r>
            <w:rPr>
              <w:b w:val="0"/>
              <w:bCs w:val="0"/>
              <w:sz w:val="32"/>
              <w:szCs w:val="32"/>
            </w:rPr>
            <w:tab/>
          </w:r>
          <w:bookmarkStart w:id="2" w:name="_Toc4424_WPSOffice_Level2Page"/>
          <w:r>
            <w:rPr>
              <w:b w:val="0"/>
              <w:bCs w:val="0"/>
              <w:sz w:val="32"/>
              <w:szCs w:val="32"/>
            </w:rPr>
            <w:t>1</w:t>
          </w:r>
          <w:bookmarkEnd w:id="2"/>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_Toc9133_WPSOffice_Level2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8fc5e2bf-214b-4e86-aded-2d7a363581c4}"/>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（二） 发展优势</w:t>
              </w:r>
            </w:sdtContent>
          </w:sdt>
          <w:r>
            <w:rPr>
              <w:b w:val="0"/>
              <w:bCs w:val="0"/>
              <w:sz w:val="32"/>
              <w:szCs w:val="32"/>
            </w:rPr>
            <w:tab/>
          </w:r>
          <w:bookmarkStart w:id="3" w:name="_Toc9133_WPSOffice_Level2Page"/>
          <w:r>
            <w:rPr>
              <w:b w:val="0"/>
              <w:bCs w:val="0"/>
              <w:sz w:val="32"/>
              <w:szCs w:val="32"/>
            </w:rPr>
            <w:t>7</w:t>
          </w:r>
          <w:bookmarkEnd w:id="3"/>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_Toc11674_WPSOffice_Level2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f9d78b50-9dbb-44a2-b727-2f66400b7466}"/>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（三） 面临的形势</w:t>
              </w:r>
            </w:sdtContent>
          </w:sdt>
          <w:r>
            <w:rPr>
              <w:b w:val="0"/>
              <w:bCs w:val="0"/>
              <w:sz w:val="32"/>
              <w:szCs w:val="32"/>
            </w:rPr>
            <w:tab/>
          </w:r>
          <w:bookmarkStart w:id="4" w:name="_Toc11674_WPSOffice_Level2Page"/>
          <w:r>
            <w:rPr>
              <w:b w:val="0"/>
              <w:bCs w:val="0"/>
              <w:sz w:val="32"/>
              <w:szCs w:val="32"/>
            </w:rPr>
            <w:t>10</w:t>
          </w:r>
          <w:bookmarkEnd w:id="4"/>
          <w:r>
            <w:rPr>
              <w:b w:val="0"/>
              <w:bCs w:val="0"/>
              <w:sz w:val="32"/>
              <w:szCs w:val="32"/>
            </w:rPr>
            <w:fldChar w:fldCharType="end"/>
          </w:r>
        </w:p>
        <w:p>
          <w:pPr>
            <w:pStyle w:val="27"/>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_Toc9133_WPSOffice_Level1 </w:instrText>
          </w:r>
          <w:r>
            <w:rPr>
              <w:b w:val="0"/>
              <w:bCs w:val="0"/>
              <w:sz w:val="32"/>
              <w:szCs w:val="32"/>
            </w:rPr>
            <w:fldChar w:fldCharType="separate"/>
          </w:r>
          <w:sdt>
            <w:sdtPr>
              <w:rPr>
                <w:rFonts w:ascii="方正黑体_GBK" w:hAnsi="方正黑体_GBK" w:eastAsia="方正黑体_GBK" w:cs="方正黑体_GBK"/>
                <w:b w:val="0"/>
                <w:bCs w:val="0"/>
                <w:sz w:val="32"/>
                <w:szCs w:val="32"/>
                <w:lang w:val="en-US" w:eastAsia="zh-CN"/>
              </w:rPr>
              <w:id w:val="147455383"/>
              <w:placeholder>
                <w:docPart w:val="{8b66fb98-1db1-4d8e-b9ca-fcf115a841ba}"/>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黑体_GBK" w:hAnsi="方正黑体_GBK" w:eastAsia="方正黑体_GBK" w:cs="方正黑体_GBK"/>
                  <w:b w:val="0"/>
                  <w:bCs w:val="0"/>
                  <w:sz w:val="32"/>
                  <w:szCs w:val="32"/>
                </w:rPr>
                <w:t>二、 总体要求</w:t>
              </w:r>
            </w:sdtContent>
          </w:sdt>
          <w:r>
            <w:rPr>
              <w:b w:val="0"/>
              <w:bCs w:val="0"/>
              <w:sz w:val="32"/>
              <w:szCs w:val="32"/>
            </w:rPr>
            <w:tab/>
          </w:r>
          <w:bookmarkStart w:id="5" w:name="_Toc9133_WPSOffice_Level1Page"/>
          <w:r>
            <w:rPr>
              <w:b w:val="0"/>
              <w:bCs w:val="0"/>
              <w:sz w:val="32"/>
              <w:szCs w:val="32"/>
            </w:rPr>
            <w:t>11</w:t>
          </w:r>
          <w:bookmarkEnd w:id="5"/>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_Toc30193_WPSOffice_Level2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cbbd592f-5b16-419c-ac73-64be38ab51a8}"/>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楷体_GBK" w:hAnsi="方正楷体_GBK" w:eastAsia="方正楷体_GBK" w:cstheme="minorBidi"/>
                  <w:b w:val="0"/>
                  <w:bCs w:val="0"/>
                  <w:sz w:val="32"/>
                  <w:szCs w:val="32"/>
                </w:rPr>
                <w:t xml:space="preserve">（一） </w:t>
              </w:r>
              <w:r>
                <w:rPr>
                  <w:rFonts w:ascii="Times New Roman" w:hAnsi="Times New Roman" w:eastAsia="方正楷体_GBK" w:cstheme="minorBidi"/>
                  <w:b w:val="0"/>
                  <w:bCs w:val="0"/>
                  <w:sz w:val="32"/>
                  <w:szCs w:val="32"/>
                </w:rPr>
                <w:t>指导思想</w:t>
              </w:r>
            </w:sdtContent>
          </w:sdt>
          <w:r>
            <w:rPr>
              <w:b w:val="0"/>
              <w:bCs w:val="0"/>
              <w:sz w:val="32"/>
              <w:szCs w:val="32"/>
            </w:rPr>
            <w:tab/>
          </w:r>
          <w:bookmarkStart w:id="6" w:name="_Toc30193_WPSOffice_Level2Page"/>
          <w:r>
            <w:rPr>
              <w:b w:val="0"/>
              <w:bCs w:val="0"/>
              <w:sz w:val="32"/>
              <w:szCs w:val="32"/>
            </w:rPr>
            <w:t>11</w:t>
          </w:r>
          <w:bookmarkEnd w:id="6"/>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_Toc11844_WPSOffice_Level2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dc83518e-652b-4ed7-b48b-2dff7989020b}"/>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楷体_GBK" w:hAnsi="方正楷体_GBK" w:eastAsia="方正楷体_GBK" w:cstheme="minorBidi"/>
                  <w:b w:val="0"/>
                  <w:bCs w:val="0"/>
                  <w:sz w:val="32"/>
                  <w:szCs w:val="32"/>
                </w:rPr>
                <w:t xml:space="preserve">（二） </w:t>
              </w:r>
              <w:r>
                <w:rPr>
                  <w:rFonts w:ascii="Times New Roman" w:hAnsi="Times New Roman" w:eastAsia="方正楷体_GBK" w:cstheme="minorBidi"/>
                  <w:b w:val="0"/>
                  <w:bCs w:val="0"/>
                  <w:sz w:val="32"/>
                  <w:szCs w:val="32"/>
                </w:rPr>
                <w:t>发展原则</w:t>
              </w:r>
            </w:sdtContent>
          </w:sdt>
          <w:r>
            <w:rPr>
              <w:b w:val="0"/>
              <w:bCs w:val="0"/>
              <w:sz w:val="32"/>
              <w:szCs w:val="32"/>
            </w:rPr>
            <w:tab/>
          </w:r>
          <w:bookmarkStart w:id="7" w:name="_Toc11844_WPSOffice_Level2Page"/>
          <w:r>
            <w:rPr>
              <w:b w:val="0"/>
              <w:bCs w:val="0"/>
              <w:sz w:val="32"/>
              <w:szCs w:val="32"/>
            </w:rPr>
            <w:t>12</w:t>
          </w:r>
          <w:bookmarkEnd w:id="7"/>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_Toc17970_WPSOffice_Level2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ed2b0eca-493c-466a-bdab-c2358a2dbb07}"/>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楷体_GBK" w:hAnsi="方正楷体_GBK" w:eastAsia="方正楷体_GBK" w:cstheme="minorBidi"/>
                  <w:b w:val="0"/>
                  <w:bCs w:val="0"/>
                  <w:sz w:val="32"/>
                  <w:szCs w:val="32"/>
                </w:rPr>
                <w:t xml:space="preserve">（三） </w:t>
              </w:r>
              <w:r>
                <w:rPr>
                  <w:rFonts w:ascii="Times New Roman" w:hAnsi="Times New Roman" w:eastAsia="方正楷体_GBK" w:cstheme="minorBidi"/>
                  <w:b w:val="0"/>
                  <w:bCs w:val="0"/>
                  <w:sz w:val="32"/>
                  <w:szCs w:val="32"/>
                </w:rPr>
                <w:t>发展定位</w:t>
              </w:r>
            </w:sdtContent>
          </w:sdt>
          <w:r>
            <w:rPr>
              <w:b w:val="0"/>
              <w:bCs w:val="0"/>
              <w:sz w:val="32"/>
              <w:szCs w:val="32"/>
            </w:rPr>
            <w:tab/>
          </w:r>
          <w:bookmarkStart w:id="8" w:name="_Toc17970_WPSOffice_Level2Page"/>
          <w:r>
            <w:rPr>
              <w:b w:val="0"/>
              <w:bCs w:val="0"/>
              <w:sz w:val="32"/>
              <w:szCs w:val="32"/>
            </w:rPr>
            <w:t>13</w:t>
          </w:r>
          <w:bookmarkEnd w:id="8"/>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_Toc7398_WPSOffice_Level2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a0ead0b3-1627-4958-a662-2bd61eee22a2}"/>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楷体_GBK" w:hAnsi="方正楷体_GBK" w:eastAsia="方正楷体_GBK" w:cstheme="minorBidi"/>
                  <w:b w:val="0"/>
                  <w:bCs w:val="0"/>
                  <w:sz w:val="32"/>
                  <w:szCs w:val="32"/>
                </w:rPr>
                <w:t xml:space="preserve">（四） </w:t>
              </w:r>
              <w:r>
                <w:rPr>
                  <w:rFonts w:ascii="Times New Roman" w:hAnsi="Times New Roman" w:eastAsia="方正楷体_GBK" w:cstheme="minorBidi"/>
                  <w:b w:val="0"/>
                  <w:bCs w:val="0"/>
                  <w:sz w:val="32"/>
                  <w:szCs w:val="32"/>
                </w:rPr>
                <w:t>发展目标</w:t>
              </w:r>
            </w:sdtContent>
          </w:sdt>
          <w:r>
            <w:rPr>
              <w:b w:val="0"/>
              <w:bCs w:val="0"/>
              <w:sz w:val="32"/>
              <w:szCs w:val="32"/>
            </w:rPr>
            <w:tab/>
          </w:r>
          <w:bookmarkStart w:id="9" w:name="_Toc7398_WPSOffice_Level2Page"/>
          <w:r>
            <w:rPr>
              <w:b w:val="0"/>
              <w:bCs w:val="0"/>
              <w:sz w:val="32"/>
              <w:szCs w:val="32"/>
            </w:rPr>
            <w:t>15</w:t>
          </w:r>
          <w:bookmarkEnd w:id="9"/>
          <w:r>
            <w:rPr>
              <w:b w:val="0"/>
              <w:bCs w:val="0"/>
              <w:sz w:val="32"/>
              <w:szCs w:val="32"/>
            </w:rPr>
            <w:fldChar w:fldCharType="end"/>
          </w:r>
        </w:p>
        <w:p>
          <w:pPr>
            <w:pStyle w:val="27"/>
            <w:tabs>
              <w:tab w:val="right" w:leader="dot" w:pos="8845"/>
            </w:tabs>
            <w:rPr>
              <w:rFonts w:ascii="方正黑体_GBK" w:hAnsi="方正黑体_GBK" w:eastAsia="方正黑体_GBK" w:cs="方正黑体_GBK"/>
              <w:b w:val="0"/>
              <w:bCs w:val="0"/>
              <w:sz w:val="32"/>
              <w:szCs w:val="32"/>
            </w:rPr>
          </w:pPr>
          <w:r>
            <w:rPr>
              <w:rFonts w:ascii="方正黑体_GBK" w:hAnsi="方正黑体_GBK" w:eastAsia="方正黑体_GBK" w:cs="方正黑体_GBK"/>
              <w:b w:val="0"/>
              <w:bCs w:val="0"/>
              <w:sz w:val="32"/>
              <w:szCs w:val="32"/>
            </w:rPr>
            <w:fldChar w:fldCharType="begin"/>
          </w:r>
          <w:r>
            <w:rPr>
              <w:rFonts w:ascii="方正黑体_GBK" w:hAnsi="方正黑体_GBK" w:eastAsia="方正黑体_GBK" w:cs="方正黑体_GBK"/>
              <w:b w:val="0"/>
              <w:bCs w:val="0"/>
              <w:sz w:val="32"/>
              <w:szCs w:val="32"/>
            </w:rPr>
            <w:instrText xml:space="preserve"> HYPERLINK \l _Toc11674_WPSOffice_Level1 </w:instrText>
          </w:r>
          <w:r>
            <w:rPr>
              <w:rFonts w:ascii="方正黑体_GBK" w:hAnsi="方正黑体_GBK" w:eastAsia="方正黑体_GBK" w:cs="方正黑体_GBK"/>
              <w:b w:val="0"/>
              <w:bCs w:val="0"/>
              <w:sz w:val="32"/>
              <w:szCs w:val="32"/>
            </w:rPr>
            <w:fldChar w:fldCharType="separate"/>
          </w:r>
          <w:sdt>
            <w:sdtPr>
              <w:rPr>
                <w:rFonts w:ascii="方正黑体_GBK" w:hAnsi="方正黑体_GBK" w:eastAsia="方正黑体_GBK" w:cs="方正黑体_GBK"/>
                <w:b w:val="0"/>
                <w:bCs w:val="0"/>
                <w:sz w:val="32"/>
                <w:szCs w:val="32"/>
                <w:lang w:val="en-US" w:eastAsia="zh-CN"/>
              </w:rPr>
              <w:id w:val="147455383"/>
              <w:placeholder>
                <w:docPart w:val="{a86c6fcf-0f64-496d-bcd5-ee60a82bc340}"/>
              </w:placeholder>
            </w:sdtPr>
            <w:sdtEndPr>
              <w:rPr>
                <w:rFonts w:ascii="方正黑体_GBK" w:hAnsi="方正黑体_GBK" w:eastAsia="方正黑体_GBK" w:cs="方正黑体_GBK"/>
                <w:b w:val="0"/>
                <w:bCs w:val="0"/>
                <w:sz w:val="32"/>
                <w:szCs w:val="32"/>
                <w:lang w:val="en-US" w:eastAsia="zh-CN"/>
              </w:rPr>
            </w:sdtEndPr>
            <w:sdtContent>
              <w:r>
                <w:rPr>
                  <w:rFonts w:ascii="方正黑体_GBK" w:hAnsi="方正黑体_GBK" w:eastAsia="方正黑体_GBK" w:cs="方正黑体_GBK"/>
                  <w:b w:val="0"/>
                  <w:bCs w:val="0"/>
                  <w:sz w:val="32"/>
                  <w:szCs w:val="32"/>
                </w:rPr>
                <w:t>三、 构建“5+4+3”服务业产业发展体系</w:t>
              </w:r>
            </w:sdtContent>
          </w:sdt>
          <w:r>
            <w:rPr>
              <w:rFonts w:ascii="方正黑体_GBK" w:hAnsi="方正黑体_GBK" w:eastAsia="方正黑体_GBK" w:cs="方正黑体_GBK"/>
              <w:b w:val="0"/>
              <w:bCs w:val="0"/>
              <w:sz w:val="32"/>
              <w:szCs w:val="32"/>
            </w:rPr>
            <w:tab/>
          </w:r>
          <w:bookmarkStart w:id="10" w:name="_Toc11674_WPSOffice_Level1Page"/>
          <w:r>
            <w:rPr>
              <w:rFonts w:ascii="方正黑体_GBK" w:hAnsi="方正黑体_GBK" w:eastAsia="方正黑体_GBK" w:cs="方正黑体_GBK"/>
              <w:b w:val="0"/>
              <w:bCs w:val="0"/>
              <w:sz w:val="32"/>
              <w:szCs w:val="32"/>
            </w:rPr>
            <w:t>17</w:t>
          </w:r>
          <w:bookmarkEnd w:id="10"/>
          <w:r>
            <w:rPr>
              <w:rFonts w:ascii="方正黑体_GBK" w:hAnsi="方正黑体_GBK" w:eastAsia="方正黑体_GBK" w:cs="方正黑体_GBK"/>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_Toc19177_WPSOffice_Level2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444ef7f2-9736-4b9e-b7a2-06c90d14fdb5}"/>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（一）巩固提升优势服务业</w:t>
              </w:r>
            </w:sdtContent>
          </w:sdt>
          <w:r>
            <w:rPr>
              <w:b w:val="0"/>
              <w:bCs w:val="0"/>
              <w:sz w:val="32"/>
              <w:szCs w:val="32"/>
            </w:rPr>
            <w:tab/>
          </w:r>
          <w:bookmarkStart w:id="11" w:name="_Toc19177_WPSOffice_Level2Page"/>
          <w:r>
            <w:rPr>
              <w:b w:val="0"/>
              <w:bCs w:val="0"/>
              <w:sz w:val="32"/>
              <w:szCs w:val="32"/>
            </w:rPr>
            <w:t>17</w:t>
          </w:r>
          <w:bookmarkEnd w:id="11"/>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_Toc44_WPSOffice_Level2 </w:instrText>
          </w:r>
          <w:r>
            <w:rPr>
              <w:b w:val="0"/>
              <w:bCs w:val="0"/>
              <w:sz w:val="32"/>
              <w:szCs w:val="32"/>
            </w:rPr>
            <w:fldChar w:fldCharType="separate"/>
          </w:r>
          <w:sdt>
            <w:sdtPr>
              <w:rPr>
                <w:rFonts w:ascii="Times New Roman" w:hAnsi="Times New Roman" w:eastAsia="方正仿宋_GBK" w:cstheme="minorBidi"/>
                <w:b w:val="0"/>
                <w:bCs w:val="0"/>
                <w:kern w:val="2"/>
                <w:sz w:val="30"/>
                <w:szCs w:val="30"/>
                <w:lang w:val="en-US" w:eastAsia="zh-CN" w:bidi="ar-SA"/>
              </w:rPr>
              <w:id w:val="147455383"/>
              <w:placeholder>
                <w:docPart w:val="{fd442fb5-d9ac-45e9-8d2c-076dc322d1a0}"/>
              </w:placeholder>
            </w:sdtPr>
            <w:sdtEndPr>
              <w:rPr>
                <w:rFonts w:hint="eastAsia" w:ascii="方正楷体_GBK" w:hAnsi="方正楷体_GBK" w:eastAsia="方正楷体_GBK" w:cs="方正楷体_GBK"/>
                <w:b w:val="0"/>
                <w:bCs w:val="0"/>
                <w:kern w:val="2"/>
                <w:sz w:val="32"/>
                <w:szCs w:val="32"/>
                <w:lang w:val="en-US" w:eastAsia="zh-CN" w:bidi="ar-SA"/>
              </w:rPr>
            </w:sdtEndPr>
            <w:sdtContent>
              <w:r>
                <w:rPr>
                  <w:rFonts w:hint="eastAsia" w:ascii="方正楷体_GBK" w:hAnsi="方正楷体_GBK" w:eastAsia="方正楷体_GBK" w:cs="方正楷体_GBK"/>
                  <w:b w:val="0"/>
                  <w:bCs w:val="0"/>
                  <w:sz w:val="30"/>
                  <w:szCs w:val="30"/>
                </w:rPr>
                <w:t>专栏1：优势服务业重点建设项目</w:t>
              </w:r>
            </w:sdtContent>
          </w:sdt>
          <w:r>
            <w:rPr>
              <w:b w:val="0"/>
              <w:bCs w:val="0"/>
              <w:sz w:val="32"/>
              <w:szCs w:val="32"/>
            </w:rPr>
            <w:tab/>
          </w:r>
          <w:bookmarkStart w:id="12" w:name="_Toc44_WPSOffice_Level2Page"/>
          <w:r>
            <w:rPr>
              <w:b w:val="0"/>
              <w:bCs w:val="0"/>
              <w:sz w:val="32"/>
              <w:szCs w:val="32"/>
            </w:rPr>
            <w:t>29</w:t>
          </w:r>
          <w:bookmarkEnd w:id="12"/>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_Toc1660_WPSOffice_Level2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32f614d1-11c7-455a-b431-93b381728cad}"/>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（二）创新发展新兴服务业</w:t>
              </w:r>
            </w:sdtContent>
          </w:sdt>
          <w:r>
            <w:rPr>
              <w:b w:val="0"/>
              <w:bCs w:val="0"/>
              <w:sz w:val="32"/>
              <w:szCs w:val="32"/>
            </w:rPr>
            <w:tab/>
          </w:r>
          <w:bookmarkStart w:id="13" w:name="_Toc1660_WPSOffice_Level2Page"/>
          <w:r>
            <w:rPr>
              <w:b w:val="0"/>
              <w:bCs w:val="0"/>
              <w:sz w:val="32"/>
              <w:szCs w:val="32"/>
            </w:rPr>
            <w:t>30</w:t>
          </w:r>
          <w:bookmarkEnd w:id="13"/>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_Toc177_WPSOffice_Level2 </w:instrText>
          </w:r>
          <w:r>
            <w:rPr>
              <w:b w:val="0"/>
              <w:bCs w:val="0"/>
              <w:sz w:val="32"/>
              <w:szCs w:val="32"/>
            </w:rPr>
            <w:fldChar w:fldCharType="separate"/>
          </w:r>
          <w:sdt>
            <w:sdtPr>
              <w:rPr>
                <w:rFonts w:hint="eastAsia" w:ascii="方正楷体_GBK" w:hAnsi="方正楷体_GBK" w:eastAsia="方正楷体_GBK" w:cs="方正楷体_GBK"/>
                <w:b w:val="0"/>
                <w:bCs w:val="0"/>
                <w:sz w:val="30"/>
                <w:szCs w:val="30"/>
                <w:lang w:val="en-US" w:eastAsia="zh-CN"/>
              </w:rPr>
              <w:id w:val="147455383"/>
              <w:placeholder>
                <w:docPart w:val="{2e06ceb1-2bfc-427a-839a-1e73b5b39cfb}"/>
              </w:placeholder>
            </w:sdtPr>
            <w:sdtEndPr>
              <w:rPr>
                <w:rFonts w:hint="eastAsia" w:ascii="Times New Roman" w:hAnsi="Times New Roman" w:eastAsia="方正仿宋_GBK" w:cstheme="minorBidi"/>
                <w:b w:val="0"/>
                <w:bCs w:val="0"/>
                <w:kern w:val="2"/>
                <w:sz w:val="30"/>
                <w:szCs w:val="30"/>
                <w:lang w:val="en-US" w:eastAsia="zh-CN" w:bidi="ar-SA"/>
              </w:rPr>
            </w:sdtEndPr>
            <w:sdtContent>
              <w:r>
                <w:rPr>
                  <w:rFonts w:hint="eastAsia" w:ascii="方正楷体_GBK" w:hAnsi="方正楷体_GBK" w:eastAsia="方正楷体_GBK" w:cs="方正楷体_GBK"/>
                  <w:b w:val="0"/>
                  <w:bCs w:val="0"/>
                  <w:sz w:val="30"/>
                  <w:szCs w:val="30"/>
                  <w:lang w:val="en-US" w:eastAsia="zh-CN"/>
                </w:rPr>
                <w:t>专栏2：新兴服务业重点建设项目</w:t>
              </w:r>
            </w:sdtContent>
          </w:sdt>
          <w:r>
            <w:rPr>
              <w:b w:val="0"/>
              <w:bCs w:val="0"/>
              <w:sz w:val="32"/>
              <w:szCs w:val="32"/>
            </w:rPr>
            <w:tab/>
          </w:r>
          <w:bookmarkStart w:id="14" w:name="_Toc177_WPSOffice_Level2Page"/>
          <w:r>
            <w:rPr>
              <w:b w:val="0"/>
              <w:bCs w:val="0"/>
              <w:sz w:val="32"/>
              <w:szCs w:val="32"/>
            </w:rPr>
            <w:t>37</w:t>
          </w:r>
          <w:bookmarkEnd w:id="14"/>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_Toc11347_WPSOffice_Level2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7d45bfbf-ed2e-4701-9232-149087e77297}"/>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（三）培育发展其他服务业</w:t>
              </w:r>
            </w:sdtContent>
          </w:sdt>
          <w:r>
            <w:rPr>
              <w:b w:val="0"/>
              <w:bCs w:val="0"/>
              <w:sz w:val="32"/>
              <w:szCs w:val="32"/>
            </w:rPr>
            <w:tab/>
          </w:r>
          <w:bookmarkStart w:id="15" w:name="_Toc11347_WPSOffice_Level2Page"/>
          <w:r>
            <w:rPr>
              <w:b w:val="0"/>
              <w:bCs w:val="0"/>
              <w:sz w:val="32"/>
              <w:szCs w:val="32"/>
            </w:rPr>
            <w:t>38</w:t>
          </w:r>
          <w:bookmarkEnd w:id="15"/>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_Toc21911_WPSOffice_Level2 </w:instrText>
          </w:r>
          <w:r>
            <w:rPr>
              <w:b w:val="0"/>
              <w:bCs w:val="0"/>
              <w:sz w:val="32"/>
              <w:szCs w:val="32"/>
            </w:rPr>
            <w:fldChar w:fldCharType="separate"/>
          </w:r>
          <w:sdt>
            <w:sdtPr>
              <w:rPr>
                <w:rFonts w:hint="eastAsia" w:ascii="方正楷体_GBK" w:hAnsi="方正楷体_GBK" w:eastAsia="方正楷体_GBK" w:cs="方正楷体_GBK"/>
                <w:b w:val="0"/>
                <w:bCs w:val="0"/>
                <w:sz w:val="30"/>
                <w:szCs w:val="30"/>
                <w:lang w:val="en-US" w:eastAsia="zh-CN"/>
              </w:rPr>
              <w:id w:val="147455383"/>
              <w:placeholder>
                <w:docPart w:val="{f1e290f3-a09c-4607-90e0-b48ab8a6acc8}"/>
              </w:placeholder>
            </w:sdtPr>
            <w:sdtEndPr>
              <w:rPr>
                <w:rFonts w:hint="eastAsia" w:ascii="Times New Roman" w:hAnsi="Times New Roman" w:eastAsia="方正仿宋_GBK" w:cstheme="minorBidi"/>
                <w:b w:val="0"/>
                <w:bCs w:val="0"/>
                <w:kern w:val="2"/>
                <w:sz w:val="30"/>
                <w:szCs w:val="30"/>
                <w:lang w:val="en-US" w:eastAsia="zh-CN" w:bidi="ar-SA"/>
              </w:rPr>
            </w:sdtEndPr>
            <w:sdtContent>
              <w:r>
                <w:rPr>
                  <w:rFonts w:hint="eastAsia" w:ascii="方正楷体_GBK" w:hAnsi="方正楷体_GBK" w:eastAsia="方正楷体_GBK" w:cs="方正楷体_GBK"/>
                  <w:b w:val="0"/>
                  <w:bCs w:val="0"/>
                  <w:sz w:val="30"/>
                  <w:szCs w:val="30"/>
                  <w:lang w:val="en-US" w:eastAsia="zh-CN"/>
                </w:rPr>
                <w:t>专栏3：其他服务业重点建设项目</w:t>
              </w:r>
            </w:sdtContent>
          </w:sdt>
          <w:r>
            <w:rPr>
              <w:b w:val="0"/>
              <w:bCs w:val="0"/>
              <w:sz w:val="32"/>
              <w:szCs w:val="32"/>
            </w:rPr>
            <w:tab/>
          </w:r>
          <w:bookmarkStart w:id="16" w:name="_Toc21911_WPSOffice_Level2Page"/>
          <w:r>
            <w:rPr>
              <w:b w:val="0"/>
              <w:bCs w:val="0"/>
              <w:sz w:val="32"/>
              <w:szCs w:val="32"/>
            </w:rPr>
            <w:t>40</w:t>
          </w:r>
          <w:bookmarkEnd w:id="16"/>
          <w:r>
            <w:rPr>
              <w:b w:val="0"/>
              <w:bCs w:val="0"/>
              <w:sz w:val="32"/>
              <w:szCs w:val="32"/>
            </w:rPr>
            <w:fldChar w:fldCharType="end"/>
          </w:r>
        </w:p>
        <w:p>
          <w:pPr>
            <w:pStyle w:val="27"/>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_Toc30193_WPSOffice_Level1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c760003d-9683-48db-b73d-063c204fd8fa}"/>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黑体_GBK" w:hAnsi="方正黑体_GBK" w:eastAsia="方正黑体_GBK" w:cs="方正黑体_GBK"/>
                  <w:b w:val="0"/>
                  <w:bCs w:val="0"/>
                  <w:sz w:val="32"/>
                  <w:szCs w:val="32"/>
                </w:rPr>
                <w:t>四、 重点任务</w:t>
              </w:r>
            </w:sdtContent>
          </w:sdt>
          <w:r>
            <w:rPr>
              <w:b w:val="0"/>
              <w:bCs w:val="0"/>
              <w:sz w:val="32"/>
              <w:szCs w:val="32"/>
            </w:rPr>
            <w:tab/>
          </w:r>
          <w:bookmarkStart w:id="17" w:name="_Toc30193_WPSOffice_Level1Page"/>
          <w:r>
            <w:rPr>
              <w:b w:val="0"/>
              <w:bCs w:val="0"/>
              <w:sz w:val="32"/>
              <w:szCs w:val="32"/>
            </w:rPr>
            <w:t>40</w:t>
          </w:r>
          <w:bookmarkEnd w:id="17"/>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_Toc9341_WPSOffice_Level2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993813c3-3de3-4f72-a46b-a99b94b9c49a}"/>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（一） 优化空间布局，拓展发展空间</w:t>
              </w:r>
            </w:sdtContent>
          </w:sdt>
          <w:r>
            <w:rPr>
              <w:b w:val="0"/>
              <w:bCs w:val="0"/>
              <w:sz w:val="32"/>
              <w:szCs w:val="32"/>
            </w:rPr>
            <w:tab/>
          </w:r>
          <w:bookmarkStart w:id="18" w:name="_Toc9341_WPSOffice_Level2Page"/>
          <w:r>
            <w:rPr>
              <w:b w:val="0"/>
              <w:bCs w:val="0"/>
              <w:sz w:val="32"/>
              <w:szCs w:val="32"/>
            </w:rPr>
            <w:t>40</w:t>
          </w:r>
          <w:bookmarkEnd w:id="18"/>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_Toc2766_WPSOffice_Level2 </w:instrText>
          </w:r>
          <w:r>
            <w:rPr>
              <w:b w:val="0"/>
              <w:bCs w:val="0"/>
              <w:sz w:val="32"/>
              <w:szCs w:val="32"/>
            </w:rPr>
            <w:fldChar w:fldCharType="separate"/>
          </w:r>
          <w:sdt>
            <w:sdtPr>
              <w:rPr>
                <w:rFonts w:hint="eastAsia" w:ascii="方正楷体_GBK" w:hAnsi="方正楷体_GBK" w:eastAsia="方正楷体_GBK" w:cs="方正楷体_GBK"/>
                <w:b w:val="0"/>
                <w:bCs w:val="0"/>
                <w:sz w:val="30"/>
                <w:szCs w:val="30"/>
                <w:lang w:val="en-US" w:eastAsia="zh-CN"/>
              </w:rPr>
              <w:id w:val="147455383"/>
              <w:placeholder>
                <w:docPart w:val="{7744818f-28a8-43ff-9ca1-6d7bdbea6529}"/>
              </w:placeholder>
            </w:sdtPr>
            <w:sdtEndPr>
              <w:rPr>
                <w:rFonts w:hint="eastAsia" w:ascii="Times New Roman" w:hAnsi="Times New Roman" w:eastAsia="方正仿宋_GBK" w:cstheme="minorBidi"/>
                <w:b w:val="0"/>
                <w:bCs w:val="0"/>
                <w:kern w:val="2"/>
                <w:sz w:val="30"/>
                <w:szCs w:val="30"/>
                <w:lang w:val="en-US" w:eastAsia="zh-CN" w:bidi="ar-SA"/>
              </w:rPr>
            </w:sdtEndPr>
            <w:sdtContent>
              <w:r>
                <w:rPr>
                  <w:rFonts w:hint="eastAsia" w:ascii="方正楷体_GBK" w:hAnsi="方正楷体_GBK" w:eastAsia="方正楷体_GBK" w:cs="方正楷体_GBK"/>
                  <w:b w:val="0"/>
                  <w:bCs w:val="0"/>
                  <w:sz w:val="30"/>
                  <w:szCs w:val="30"/>
                  <w:lang w:val="en-US" w:eastAsia="zh-CN"/>
                </w:rPr>
                <w:t>专栏4：打造新兴产业集聚空间重点任务</w:t>
              </w:r>
            </w:sdtContent>
          </w:sdt>
          <w:r>
            <w:rPr>
              <w:b w:val="0"/>
              <w:bCs w:val="0"/>
              <w:sz w:val="32"/>
              <w:szCs w:val="32"/>
            </w:rPr>
            <w:tab/>
          </w:r>
          <w:bookmarkStart w:id="19" w:name="_Toc2766_WPSOffice_Level2Page"/>
          <w:r>
            <w:rPr>
              <w:b w:val="0"/>
              <w:bCs w:val="0"/>
              <w:sz w:val="32"/>
              <w:szCs w:val="32"/>
            </w:rPr>
            <w:t>43</w:t>
          </w:r>
          <w:bookmarkEnd w:id="19"/>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_Toc31202_WPSOffice_Level2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ef306694-e498-46db-951a-7336b31689af}"/>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（二） 加强主体培育，激发市场活力</w:t>
              </w:r>
            </w:sdtContent>
          </w:sdt>
          <w:r>
            <w:rPr>
              <w:b w:val="0"/>
              <w:bCs w:val="0"/>
              <w:sz w:val="32"/>
              <w:szCs w:val="32"/>
            </w:rPr>
            <w:tab/>
          </w:r>
          <w:bookmarkStart w:id="20" w:name="_Toc31202_WPSOffice_Level2Page"/>
          <w:r>
            <w:rPr>
              <w:b w:val="0"/>
              <w:bCs w:val="0"/>
              <w:sz w:val="32"/>
              <w:szCs w:val="32"/>
            </w:rPr>
            <w:t>43</w:t>
          </w:r>
          <w:bookmarkEnd w:id="20"/>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_Toc1964_WPSOffice_Level2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49428299-b028-43b2-8257-7b2bea683666}"/>
              </w:placeholder>
            </w:sdtPr>
            <w:sdtEndPr>
              <w:rPr>
                <w:rFonts w:hint="eastAsia" w:ascii="方正楷体_GBK" w:hAnsi="方正楷体_GBK" w:eastAsia="方正楷体_GBK" w:cs="方正楷体_GBK"/>
                <w:b w:val="0"/>
                <w:bCs w:val="0"/>
                <w:kern w:val="2"/>
                <w:sz w:val="32"/>
                <w:szCs w:val="32"/>
                <w:lang w:val="en-US" w:eastAsia="zh-CN" w:bidi="ar-SA"/>
              </w:rPr>
            </w:sdtEndPr>
            <w:sdtContent>
              <w:r>
                <w:rPr>
                  <w:rFonts w:hint="eastAsia" w:ascii="方正楷体_GBK" w:hAnsi="方正楷体_GBK" w:eastAsia="方正楷体_GBK" w:cs="方正楷体_GBK"/>
                  <w:b w:val="0"/>
                  <w:bCs w:val="0"/>
                  <w:sz w:val="30"/>
                  <w:szCs w:val="30"/>
                  <w:lang w:val="en-US" w:eastAsia="zh-CN"/>
                </w:rPr>
                <w:t>专栏5：服务业主体培育重点任务</w:t>
              </w:r>
            </w:sdtContent>
          </w:sdt>
          <w:r>
            <w:rPr>
              <w:b w:val="0"/>
              <w:bCs w:val="0"/>
              <w:sz w:val="32"/>
              <w:szCs w:val="32"/>
            </w:rPr>
            <w:tab/>
          </w:r>
          <w:bookmarkStart w:id="21" w:name="_Toc1964_WPSOffice_Level2Page"/>
          <w:r>
            <w:rPr>
              <w:b w:val="0"/>
              <w:bCs w:val="0"/>
              <w:sz w:val="32"/>
              <w:szCs w:val="32"/>
            </w:rPr>
            <w:t>44</w:t>
          </w:r>
          <w:bookmarkEnd w:id="21"/>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_Toc25260_WPSOffice_Level2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6d46daa6-e31f-49c5-8737-264ead5c31c9}"/>
              </w:placeholder>
            </w:sdtPr>
            <w:sdtEndPr>
              <w:rPr>
                <w:rFonts w:ascii="Times New Roman" w:hAnsi="Times New Roman" w:eastAsia="方正仿宋_GBK" w:cstheme="minorBidi"/>
                <w:b w:val="0"/>
                <w:bCs w:val="0"/>
                <w:kern w:val="2"/>
                <w:sz w:val="32"/>
                <w:szCs w:val="32"/>
                <w:lang w:val="en-US" w:eastAsia="zh-CN" w:bidi="ar-SA"/>
              </w:rPr>
            </w:sdtEndPr>
            <w:sdtContent>
              <w:r>
                <w:rPr>
                  <w:rFonts w:ascii="Times New Roman" w:hAnsi="Times New Roman" w:eastAsia="方正楷体_GBK" w:cstheme="minorBidi"/>
                  <w:b w:val="0"/>
                  <w:bCs w:val="0"/>
                  <w:sz w:val="32"/>
                  <w:szCs w:val="32"/>
                </w:rPr>
                <w:t>（三） 深化融合发展，完善服务链条</w:t>
              </w:r>
            </w:sdtContent>
          </w:sdt>
          <w:r>
            <w:rPr>
              <w:b w:val="0"/>
              <w:bCs w:val="0"/>
              <w:sz w:val="32"/>
              <w:szCs w:val="32"/>
            </w:rPr>
            <w:tab/>
          </w:r>
          <w:bookmarkStart w:id="22" w:name="_Toc25260_WPSOffice_Level2Page"/>
          <w:r>
            <w:rPr>
              <w:b w:val="0"/>
              <w:bCs w:val="0"/>
              <w:sz w:val="32"/>
              <w:szCs w:val="32"/>
            </w:rPr>
            <w:t>44</w:t>
          </w:r>
          <w:bookmarkEnd w:id="22"/>
          <w:r>
            <w:rPr>
              <w:b w:val="0"/>
              <w:bCs w:val="0"/>
              <w:sz w:val="32"/>
              <w:szCs w:val="32"/>
            </w:rPr>
            <w:fldChar w:fldCharType="end"/>
          </w:r>
        </w:p>
        <w:p>
          <w:pPr>
            <w:pStyle w:val="28"/>
            <w:tabs>
              <w:tab w:val="right" w:leader="dot" w:pos="8845"/>
            </w:tabs>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_Toc17478_WPSOffice_Level2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2"/>
                <w:szCs w:val="32"/>
                <w:lang w:val="en-US" w:eastAsia="zh-CN"/>
              </w:rPr>
              <w:id w:val="147455383"/>
              <w:placeholder>
                <w:docPart w:val="{777cd31c-9f22-4c3c-86e7-6cec022c7451}"/>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0"/>
                  <w:szCs w:val="30"/>
                  <w:lang w:val="en-US" w:eastAsia="zh-CN"/>
                </w:rPr>
                <w:t>专栏6：服务业融合发展重点任务</w:t>
              </w:r>
            </w:sdtContent>
          </w:sdt>
          <w:r>
            <w:rPr>
              <w:rFonts w:hint="eastAsia" w:ascii="方正楷体_GBK" w:hAnsi="方正楷体_GBK" w:eastAsia="方正楷体_GBK" w:cs="方正楷体_GBK"/>
              <w:b w:val="0"/>
              <w:bCs w:val="0"/>
              <w:sz w:val="32"/>
              <w:szCs w:val="32"/>
            </w:rPr>
            <w:tab/>
          </w:r>
          <w:bookmarkStart w:id="23" w:name="_Toc17478_WPSOffice_Level2Page"/>
          <w:r>
            <w:rPr>
              <w:rFonts w:hint="eastAsia" w:ascii="方正楷体_GBK" w:hAnsi="方正楷体_GBK" w:eastAsia="方正楷体_GBK" w:cs="方正楷体_GBK"/>
              <w:b w:val="0"/>
              <w:bCs w:val="0"/>
              <w:sz w:val="32"/>
              <w:szCs w:val="32"/>
            </w:rPr>
            <w:t>46</w:t>
          </w:r>
          <w:bookmarkEnd w:id="23"/>
          <w:r>
            <w:rPr>
              <w:rFonts w:hint="eastAsia" w:ascii="方正楷体_GBK" w:hAnsi="方正楷体_GBK" w:eastAsia="方正楷体_GBK" w:cs="方正楷体_GBK"/>
              <w:b w:val="0"/>
              <w:bCs w:val="0"/>
              <w:sz w:val="32"/>
              <w:szCs w:val="32"/>
            </w:rPr>
            <w:fldChar w:fldCharType="end"/>
          </w:r>
        </w:p>
        <w:p>
          <w:pPr>
            <w:pStyle w:val="28"/>
            <w:tabs>
              <w:tab w:val="right" w:leader="dot" w:pos="8845"/>
            </w:tabs>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_Toc2198_WPSOffice_Level2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2"/>
                <w:szCs w:val="32"/>
                <w:lang w:val="en-US" w:eastAsia="zh-CN"/>
              </w:rPr>
              <w:id w:val="147455383"/>
              <w:placeholder>
                <w:docPart w:val="{ae235dc1-8cf7-4fbb-b57b-062d8cd27cb4}"/>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2"/>
                  <w:szCs w:val="32"/>
                </w:rPr>
                <w:t>（四） 树立服务品牌，提升服务质量</w:t>
              </w:r>
            </w:sdtContent>
          </w:sdt>
          <w:r>
            <w:rPr>
              <w:rFonts w:hint="eastAsia" w:ascii="方正楷体_GBK" w:hAnsi="方正楷体_GBK" w:eastAsia="方正楷体_GBK" w:cs="方正楷体_GBK"/>
              <w:b w:val="0"/>
              <w:bCs w:val="0"/>
              <w:sz w:val="32"/>
              <w:szCs w:val="32"/>
            </w:rPr>
            <w:tab/>
          </w:r>
          <w:bookmarkStart w:id="24" w:name="_Toc2198_WPSOffice_Level2Page"/>
          <w:r>
            <w:rPr>
              <w:rFonts w:hint="eastAsia" w:ascii="方正楷体_GBK" w:hAnsi="方正楷体_GBK" w:eastAsia="方正楷体_GBK" w:cs="方正楷体_GBK"/>
              <w:b w:val="0"/>
              <w:bCs w:val="0"/>
              <w:sz w:val="32"/>
              <w:szCs w:val="32"/>
            </w:rPr>
            <w:t>47</w:t>
          </w:r>
          <w:bookmarkEnd w:id="24"/>
          <w:r>
            <w:rPr>
              <w:rFonts w:hint="eastAsia" w:ascii="方正楷体_GBK" w:hAnsi="方正楷体_GBK" w:eastAsia="方正楷体_GBK" w:cs="方正楷体_GBK"/>
              <w:b w:val="0"/>
              <w:bCs w:val="0"/>
              <w:sz w:val="32"/>
              <w:szCs w:val="32"/>
            </w:rPr>
            <w:fldChar w:fldCharType="end"/>
          </w:r>
        </w:p>
        <w:p>
          <w:pPr>
            <w:pStyle w:val="28"/>
            <w:tabs>
              <w:tab w:val="right" w:leader="dot" w:pos="8845"/>
            </w:tabs>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_Toc32124_WPSOffice_Level2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0"/>
                <w:szCs w:val="30"/>
                <w:lang w:val="en-US" w:eastAsia="zh-CN"/>
              </w:rPr>
              <w:id w:val="147455383"/>
              <w:placeholder>
                <w:docPart w:val="{7fb23aeb-5d7d-4fd9-b073-3b31e297a5f3}"/>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0"/>
                  <w:szCs w:val="30"/>
                </w:rPr>
                <w:t>专栏7：服务业品牌树立重点任务</w:t>
              </w:r>
            </w:sdtContent>
          </w:sdt>
          <w:r>
            <w:rPr>
              <w:rFonts w:hint="eastAsia" w:ascii="方正楷体_GBK" w:hAnsi="方正楷体_GBK" w:eastAsia="方正楷体_GBK" w:cs="方正楷体_GBK"/>
              <w:b w:val="0"/>
              <w:bCs w:val="0"/>
              <w:sz w:val="32"/>
              <w:szCs w:val="32"/>
            </w:rPr>
            <w:tab/>
          </w:r>
          <w:bookmarkStart w:id="25" w:name="_Toc32124_WPSOffice_Level2Page"/>
          <w:r>
            <w:rPr>
              <w:rFonts w:hint="eastAsia" w:ascii="方正楷体_GBK" w:hAnsi="方正楷体_GBK" w:eastAsia="方正楷体_GBK" w:cs="方正楷体_GBK"/>
              <w:b w:val="0"/>
              <w:bCs w:val="0"/>
              <w:sz w:val="32"/>
              <w:szCs w:val="32"/>
            </w:rPr>
            <w:t>48</w:t>
          </w:r>
          <w:bookmarkEnd w:id="25"/>
          <w:r>
            <w:rPr>
              <w:rFonts w:hint="eastAsia" w:ascii="方正楷体_GBK" w:hAnsi="方正楷体_GBK" w:eastAsia="方正楷体_GBK" w:cs="方正楷体_GBK"/>
              <w:b w:val="0"/>
              <w:bCs w:val="0"/>
              <w:sz w:val="32"/>
              <w:szCs w:val="32"/>
            </w:rPr>
            <w:fldChar w:fldCharType="end"/>
          </w:r>
        </w:p>
        <w:p>
          <w:pPr>
            <w:pStyle w:val="28"/>
            <w:tabs>
              <w:tab w:val="right" w:leader="dot" w:pos="8845"/>
            </w:tabs>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_Toc8628_WPSOffice_Level2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2"/>
                <w:szCs w:val="32"/>
                <w:lang w:val="en-US" w:eastAsia="zh-CN"/>
              </w:rPr>
              <w:id w:val="147455383"/>
              <w:placeholder>
                <w:docPart w:val="{2ee635b3-e60f-4b48-babd-7f1022190968}"/>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2"/>
                  <w:szCs w:val="32"/>
                </w:rPr>
                <w:t>（五） 突出项目支撑，增强发展后劲</w:t>
              </w:r>
            </w:sdtContent>
          </w:sdt>
          <w:r>
            <w:rPr>
              <w:rFonts w:hint="eastAsia" w:ascii="方正楷体_GBK" w:hAnsi="方正楷体_GBK" w:eastAsia="方正楷体_GBK" w:cs="方正楷体_GBK"/>
              <w:b w:val="0"/>
              <w:bCs w:val="0"/>
              <w:sz w:val="32"/>
              <w:szCs w:val="32"/>
            </w:rPr>
            <w:tab/>
          </w:r>
          <w:bookmarkStart w:id="26" w:name="_Toc8628_WPSOffice_Level2Page"/>
          <w:r>
            <w:rPr>
              <w:rFonts w:hint="eastAsia" w:ascii="方正楷体_GBK" w:hAnsi="方正楷体_GBK" w:eastAsia="方正楷体_GBK" w:cs="方正楷体_GBK"/>
              <w:b w:val="0"/>
              <w:bCs w:val="0"/>
              <w:sz w:val="32"/>
              <w:szCs w:val="32"/>
            </w:rPr>
            <w:t>48</w:t>
          </w:r>
          <w:bookmarkEnd w:id="26"/>
          <w:r>
            <w:rPr>
              <w:rFonts w:hint="eastAsia" w:ascii="方正楷体_GBK" w:hAnsi="方正楷体_GBK" w:eastAsia="方正楷体_GBK" w:cs="方正楷体_GBK"/>
              <w:b w:val="0"/>
              <w:bCs w:val="0"/>
              <w:sz w:val="32"/>
              <w:szCs w:val="32"/>
            </w:rPr>
            <w:fldChar w:fldCharType="end"/>
          </w:r>
        </w:p>
        <w:p>
          <w:pPr>
            <w:pStyle w:val="28"/>
            <w:tabs>
              <w:tab w:val="right" w:leader="dot" w:pos="8845"/>
            </w:tabs>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_Toc4863_WPSOffice_Level2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0"/>
                <w:szCs w:val="30"/>
                <w:lang w:val="en-US" w:eastAsia="zh-CN"/>
              </w:rPr>
              <w:id w:val="147455383"/>
              <w:placeholder>
                <w:docPart w:val="{fd23837d-ccd3-4b7a-90cd-868963680aa0}"/>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0"/>
                  <w:szCs w:val="30"/>
                </w:rPr>
                <w:t>专栏8：落实重大产业招商项目重点任务</w:t>
              </w:r>
            </w:sdtContent>
          </w:sdt>
          <w:r>
            <w:rPr>
              <w:rFonts w:hint="eastAsia" w:ascii="方正楷体_GBK" w:hAnsi="方正楷体_GBK" w:eastAsia="方正楷体_GBK" w:cs="方正楷体_GBK"/>
              <w:b w:val="0"/>
              <w:bCs w:val="0"/>
              <w:sz w:val="32"/>
              <w:szCs w:val="32"/>
            </w:rPr>
            <w:tab/>
          </w:r>
          <w:bookmarkStart w:id="27" w:name="_Toc4863_WPSOffice_Level2Page"/>
          <w:r>
            <w:rPr>
              <w:rFonts w:hint="eastAsia" w:ascii="方正楷体_GBK" w:hAnsi="方正楷体_GBK" w:eastAsia="方正楷体_GBK" w:cs="方正楷体_GBK"/>
              <w:b w:val="0"/>
              <w:bCs w:val="0"/>
              <w:sz w:val="32"/>
              <w:szCs w:val="32"/>
            </w:rPr>
            <w:t>49</w:t>
          </w:r>
          <w:bookmarkEnd w:id="27"/>
          <w:r>
            <w:rPr>
              <w:rFonts w:hint="eastAsia" w:ascii="方正楷体_GBK" w:hAnsi="方正楷体_GBK" w:eastAsia="方正楷体_GBK" w:cs="方正楷体_GBK"/>
              <w:b w:val="0"/>
              <w:bCs w:val="0"/>
              <w:sz w:val="32"/>
              <w:szCs w:val="32"/>
            </w:rPr>
            <w:fldChar w:fldCharType="end"/>
          </w:r>
        </w:p>
        <w:p>
          <w:pPr>
            <w:pStyle w:val="28"/>
            <w:tabs>
              <w:tab w:val="right" w:leader="dot" w:pos="8845"/>
            </w:tabs>
            <w:rPr>
              <w:rFonts w:hint="eastAsia" w:ascii="方正楷体_GBK" w:hAnsi="方正楷体_GBK" w:eastAsia="方正楷体_GBK" w:cs="方正楷体_GBK"/>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_Toc12601_WPSOffice_Level2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2"/>
                <w:szCs w:val="32"/>
                <w:lang w:val="en-US" w:eastAsia="zh-CN"/>
              </w:rPr>
              <w:id w:val="147455383"/>
              <w:placeholder>
                <w:docPart w:val="{4395d370-9900-42f2-a59e-5bf3e4df99f3}"/>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2"/>
                  <w:szCs w:val="32"/>
                </w:rPr>
                <w:t>（六） 扩大开放合作，加强平台建设</w:t>
              </w:r>
            </w:sdtContent>
          </w:sdt>
          <w:r>
            <w:rPr>
              <w:rFonts w:hint="eastAsia" w:ascii="方正楷体_GBK" w:hAnsi="方正楷体_GBK" w:eastAsia="方正楷体_GBK" w:cs="方正楷体_GBK"/>
              <w:b w:val="0"/>
              <w:bCs w:val="0"/>
              <w:sz w:val="32"/>
              <w:szCs w:val="32"/>
            </w:rPr>
            <w:tab/>
          </w:r>
          <w:bookmarkStart w:id="28" w:name="_Toc12601_WPSOffice_Level2Page"/>
          <w:r>
            <w:rPr>
              <w:rFonts w:hint="eastAsia" w:ascii="方正楷体_GBK" w:hAnsi="方正楷体_GBK" w:eastAsia="方正楷体_GBK" w:cs="方正楷体_GBK"/>
              <w:b w:val="0"/>
              <w:bCs w:val="0"/>
              <w:sz w:val="32"/>
              <w:szCs w:val="32"/>
            </w:rPr>
            <w:t>49</w:t>
          </w:r>
          <w:bookmarkEnd w:id="28"/>
          <w:r>
            <w:rPr>
              <w:rFonts w:hint="eastAsia" w:ascii="方正楷体_GBK" w:hAnsi="方正楷体_GBK" w:eastAsia="方正楷体_GBK" w:cs="方正楷体_GBK"/>
              <w:b w:val="0"/>
              <w:bCs w:val="0"/>
              <w:sz w:val="32"/>
              <w:szCs w:val="32"/>
            </w:rPr>
            <w:fldChar w:fldCharType="end"/>
          </w:r>
        </w:p>
        <w:p>
          <w:pPr>
            <w:pStyle w:val="28"/>
            <w:tabs>
              <w:tab w:val="right" w:leader="dot" w:pos="8845"/>
            </w:tabs>
            <w:rPr>
              <w:b w:val="0"/>
              <w:bCs w:val="0"/>
              <w:sz w:val="32"/>
              <w:szCs w:val="32"/>
            </w:rPr>
          </w:pPr>
          <w:r>
            <w:rPr>
              <w:rFonts w:hint="eastAsia" w:ascii="方正楷体_GBK" w:hAnsi="方正楷体_GBK" w:eastAsia="方正楷体_GBK" w:cs="方正楷体_GBK"/>
              <w:b w:val="0"/>
              <w:bCs w:val="0"/>
              <w:sz w:val="32"/>
              <w:szCs w:val="32"/>
            </w:rPr>
            <w:fldChar w:fldCharType="begin"/>
          </w:r>
          <w:r>
            <w:rPr>
              <w:rFonts w:hint="eastAsia" w:ascii="方正楷体_GBK" w:hAnsi="方正楷体_GBK" w:eastAsia="方正楷体_GBK" w:cs="方正楷体_GBK"/>
              <w:b w:val="0"/>
              <w:bCs w:val="0"/>
              <w:sz w:val="32"/>
              <w:szCs w:val="32"/>
            </w:rPr>
            <w:instrText xml:space="preserve"> HYPERLINK \l _Toc7278_WPSOffice_Level2 </w:instrText>
          </w:r>
          <w:r>
            <w:rPr>
              <w:rFonts w:hint="eastAsia" w:ascii="方正楷体_GBK" w:hAnsi="方正楷体_GBK" w:eastAsia="方正楷体_GBK" w:cs="方正楷体_GBK"/>
              <w:b w:val="0"/>
              <w:bCs w:val="0"/>
              <w:sz w:val="32"/>
              <w:szCs w:val="32"/>
            </w:rPr>
            <w:fldChar w:fldCharType="separate"/>
          </w:r>
          <w:sdt>
            <w:sdtPr>
              <w:rPr>
                <w:rFonts w:hint="eastAsia" w:ascii="方正楷体_GBK" w:hAnsi="方正楷体_GBK" w:eastAsia="方正楷体_GBK" w:cs="方正楷体_GBK"/>
                <w:b w:val="0"/>
                <w:bCs w:val="0"/>
                <w:sz w:val="32"/>
                <w:szCs w:val="32"/>
                <w:lang w:val="en-US" w:eastAsia="zh-CN"/>
              </w:rPr>
              <w:id w:val="147455383"/>
              <w:placeholder>
                <w:docPart w:val="{3e334c5b-cb9d-4fa0-a761-9fa8e5ce0704}"/>
              </w:placeholder>
            </w:sdtPr>
            <w:sdtEndPr>
              <w:rPr>
                <w:rFonts w:hint="eastAsia" w:ascii="方正楷体_GBK" w:hAnsi="方正楷体_GBK" w:eastAsia="方正楷体_GBK" w:cs="方正楷体_GBK"/>
                <w:b w:val="0"/>
                <w:bCs w:val="0"/>
                <w:sz w:val="32"/>
                <w:szCs w:val="32"/>
                <w:lang w:val="en-US" w:eastAsia="zh-CN"/>
              </w:rPr>
            </w:sdtEndPr>
            <w:sdtContent>
              <w:r>
                <w:rPr>
                  <w:rFonts w:hint="eastAsia" w:ascii="方正楷体_GBK" w:hAnsi="方正楷体_GBK" w:eastAsia="方正楷体_GBK" w:cs="方正楷体_GBK"/>
                  <w:b w:val="0"/>
                  <w:bCs w:val="0"/>
                  <w:sz w:val="30"/>
                  <w:szCs w:val="30"/>
                </w:rPr>
                <w:t>专栏9：打造开放的综合要素平台重点任务</w:t>
              </w:r>
            </w:sdtContent>
          </w:sdt>
          <w:r>
            <w:rPr>
              <w:rFonts w:hint="eastAsia" w:ascii="方正楷体_GBK" w:hAnsi="方正楷体_GBK" w:eastAsia="方正楷体_GBK" w:cs="方正楷体_GBK"/>
              <w:b w:val="0"/>
              <w:bCs w:val="0"/>
              <w:sz w:val="32"/>
              <w:szCs w:val="32"/>
            </w:rPr>
            <w:tab/>
          </w:r>
          <w:bookmarkStart w:id="29" w:name="_Toc7278_WPSOffice_Level2Page"/>
          <w:r>
            <w:rPr>
              <w:rFonts w:hint="eastAsia" w:ascii="方正楷体_GBK" w:hAnsi="方正楷体_GBK" w:eastAsia="方正楷体_GBK" w:cs="方正楷体_GBK"/>
              <w:b w:val="0"/>
              <w:bCs w:val="0"/>
              <w:sz w:val="32"/>
              <w:szCs w:val="32"/>
            </w:rPr>
            <w:t>51</w:t>
          </w:r>
          <w:bookmarkEnd w:id="29"/>
          <w:r>
            <w:rPr>
              <w:rFonts w:hint="eastAsia" w:ascii="方正楷体_GBK" w:hAnsi="方正楷体_GBK" w:eastAsia="方正楷体_GBK" w:cs="方正楷体_GBK"/>
              <w:b w:val="0"/>
              <w:bCs w:val="0"/>
              <w:sz w:val="32"/>
              <w:szCs w:val="32"/>
            </w:rPr>
            <w:fldChar w:fldCharType="end"/>
          </w:r>
        </w:p>
        <w:p>
          <w:pPr>
            <w:pStyle w:val="27"/>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_Toc11844_WPSOffice_Level1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1461d227-e5b0-4d46-a2c6-056b8701bde7}"/>
              </w:placeholder>
            </w:sdtPr>
            <w:sdtEndPr>
              <w:rPr>
                <w:rFonts w:ascii="Times New Roman" w:hAnsi="Times New Roman" w:eastAsia="方正仿宋_GBK" w:cstheme="minorBidi"/>
                <w:b w:val="0"/>
                <w:bCs w:val="0"/>
                <w:kern w:val="2"/>
                <w:sz w:val="32"/>
                <w:szCs w:val="32"/>
                <w:lang w:val="en-US" w:eastAsia="zh-CN" w:bidi="ar-SA"/>
              </w:rPr>
            </w:sdtEndPr>
            <w:sdtContent>
              <w:r>
                <w:rPr>
                  <w:rFonts w:ascii="方正黑体_GBK" w:hAnsi="方正黑体_GBK" w:eastAsia="方正黑体_GBK" w:cs="方正黑体_GBK"/>
                  <w:b w:val="0"/>
                  <w:bCs w:val="0"/>
                  <w:sz w:val="32"/>
                  <w:szCs w:val="32"/>
                </w:rPr>
                <w:t>五、 保障措施</w:t>
              </w:r>
            </w:sdtContent>
          </w:sdt>
          <w:r>
            <w:rPr>
              <w:b w:val="0"/>
              <w:bCs w:val="0"/>
              <w:sz w:val="32"/>
              <w:szCs w:val="32"/>
            </w:rPr>
            <w:tab/>
          </w:r>
          <w:bookmarkStart w:id="30" w:name="_Toc11844_WPSOffice_Level1Page"/>
          <w:r>
            <w:rPr>
              <w:b w:val="0"/>
              <w:bCs w:val="0"/>
              <w:sz w:val="32"/>
              <w:szCs w:val="32"/>
            </w:rPr>
            <w:t>51</w:t>
          </w:r>
          <w:bookmarkEnd w:id="30"/>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_Toc29844_WPSOffice_Level2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1741f6bc-dcb2-414f-9053-66bd0179779a}"/>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（一）</w:t>
              </w:r>
              <w:r>
                <w:rPr>
                  <w:rFonts w:ascii="Times New Roman" w:hAnsi="Times New Roman" w:eastAsia="方正楷体_GBK" w:cstheme="minorBidi"/>
                  <w:b w:val="0"/>
                  <w:bCs w:val="0"/>
                  <w:sz w:val="32"/>
                  <w:szCs w:val="32"/>
                </w:rPr>
                <w:t>加强组织领导</w:t>
              </w:r>
            </w:sdtContent>
          </w:sdt>
          <w:r>
            <w:rPr>
              <w:b w:val="0"/>
              <w:bCs w:val="0"/>
              <w:sz w:val="32"/>
              <w:szCs w:val="32"/>
            </w:rPr>
            <w:tab/>
          </w:r>
          <w:bookmarkStart w:id="31" w:name="_Toc29844_WPSOffice_Level2Page"/>
          <w:r>
            <w:rPr>
              <w:b w:val="0"/>
              <w:bCs w:val="0"/>
              <w:sz w:val="32"/>
              <w:szCs w:val="32"/>
            </w:rPr>
            <w:t>51</w:t>
          </w:r>
          <w:bookmarkEnd w:id="31"/>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_Toc7302_WPSOffice_Level2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952f9f70-939e-4596-8a7e-bf60493f1487}"/>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（二）</w:t>
              </w:r>
              <w:r>
                <w:rPr>
                  <w:rFonts w:ascii="Times New Roman" w:hAnsi="Times New Roman" w:eastAsia="方正楷体_GBK" w:cstheme="minorBidi"/>
                  <w:b w:val="0"/>
                  <w:bCs w:val="0"/>
                  <w:sz w:val="32"/>
                  <w:szCs w:val="32"/>
                </w:rPr>
                <w:t>加大政策扶持</w:t>
              </w:r>
            </w:sdtContent>
          </w:sdt>
          <w:r>
            <w:rPr>
              <w:b w:val="0"/>
              <w:bCs w:val="0"/>
              <w:sz w:val="32"/>
              <w:szCs w:val="32"/>
            </w:rPr>
            <w:tab/>
          </w:r>
          <w:bookmarkStart w:id="32" w:name="_Toc7302_WPSOffice_Level2Page"/>
          <w:r>
            <w:rPr>
              <w:b w:val="0"/>
              <w:bCs w:val="0"/>
              <w:sz w:val="32"/>
              <w:szCs w:val="32"/>
            </w:rPr>
            <w:t>52</w:t>
          </w:r>
          <w:bookmarkEnd w:id="32"/>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_Toc23154_WPSOffice_Level2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7848c7d0-f10a-4a2f-bf6e-2ac929b4f247}"/>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（三）</w:t>
              </w:r>
              <w:r>
                <w:rPr>
                  <w:rFonts w:ascii="Times New Roman" w:hAnsi="Times New Roman" w:eastAsia="方正楷体_GBK" w:cstheme="minorBidi"/>
                  <w:b w:val="0"/>
                  <w:bCs w:val="0"/>
                  <w:sz w:val="32"/>
                  <w:szCs w:val="32"/>
                </w:rPr>
                <w:t>创新体制机制</w:t>
              </w:r>
            </w:sdtContent>
          </w:sdt>
          <w:r>
            <w:rPr>
              <w:b w:val="0"/>
              <w:bCs w:val="0"/>
              <w:sz w:val="32"/>
              <w:szCs w:val="32"/>
            </w:rPr>
            <w:tab/>
          </w:r>
          <w:bookmarkStart w:id="33" w:name="_Toc23154_WPSOffice_Level2Page"/>
          <w:r>
            <w:rPr>
              <w:b w:val="0"/>
              <w:bCs w:val="0"/>
              <w:sz w:val="32"/>
              <w:szCs w:val="32"/>
            </w:rPr>
            <w:t>52</w:t>
          </w:r>
          <w:bookmarkEnd w:id="33"/>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_Toc27289_WPSOffice_Level2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6bfa6ed9-53dc-4a7e-8140-817bff3d1bca}"/>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（四）</w:t>
              </w:r>
              <w:r>
                <w:rPr>
                  <w:rFonts w:ascii="Times New Roman" w:hAnsi="Times New Roman" w:eastAsia="方正楷体_GBK" w:cstheme="minorBidi"/>
                  <w:b w:val="0"/>
                  <w:bCs w:val="0"/>
                  <w:sz w:val="32"/>
                  <w:szCs w:val="32"/>
                </w:rPr>
                <w:t>增强人才支撑</w:t>
              </w:r>
            </w:sdtContent>
          </w:sdt>
          <w:r>
            <w:rPr>
              <w:b w:val="0"/>
              <w:bCs w:val="0"/>
              <w:sz w:val="32"/>
              <w:szCs w:val="32"/>
            </w:rPr>
            <w:tab/>
          </w:r>
          <w:bookmarkStart w:id="34" w:name="_Toc27289_WPSOffice_Level2Page"/>
          <w:r>
            <w:rPr>
              <w:b w:val="0"/>
              <w:bCs w:val="0"/>
              <w:sz w:val="32"/>
              <w:szCs w:val="32"/>
            </w:rPr>
            <w:t>53</w:t>
          </w:r>
          <w:bookmarkEnd w:id="34"/>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_Toc23245_WPSOffice_Level2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00f72f76-0924-4427-abab-af68fd24379f}"/>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（五）</w:t>
              </w:r>
              <w:r>
                <w:rPr>
                  <w:rFonts w:ascii="Times New Roman" w:hAnsi="Times New Roman" w:eastAsia="方正楷体_GBK" w:cstheme="minorBidi"/>
                  <w:b w:val="0"/>
                  <w:bCs w:val="0"/>
                  <w:sz w:val="32"/>
                  <w:szCs w:val="32"/>
                </w:rPr>
                <w:t>优化营商环境</w:t>
              </w:r>
            </w:sdtContent>
          </w:sdt>
          <w:r>
            <w:rPr>
              <w:b w:val="0"/>
              <w:bCs w:val="0"/>
              <w:sz w:val="32"/>
              <w:szCs w:val="32"/>
            </w:rPr>
            <w:tab/>
          </w:r>
          <w:bookmarkStart w:id="35" w:name="_Toc23245_WPSOffice_Level2Page"/>
          <w:r>
            <w:rPr>
              <w:b w:val="0"/>
              <w:bCs w:val="0"/>
              <w:sz w:val="32"/>
              <w:szCs w:val="32"/>
            </w:rPr>
            <w:t>53</w:t>
          </w:r>
          <w:bookmarkEnd w:id="35"/>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_Toc27879_WPSOffice_Level2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61753b82-2b52-4b36-b3b4-cd065b0c85cd}"/>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（六）</w:t>
              </w:r>
              <w:r>
                <w:rPr>
                  <w:rFonts w:ascii="Times New Roman" w:hAnsi="Times New Roman" w:eastAsia="方正楷体_GBK" w:cstheme="minorBidi"/>
                  <w:b w:val="0"/>
                  <w:bCs w:val="0"/>
                  <w:sz w:val="32"/>
                  <w:szCs w:val="32"/>
                </w:rPr>
                <w:t>强化要素保障</w:t>
              </w:r>
            </w:sdtContent>
          </w:sdt>
          <w:r>
            <w:rPr>
              <w:b w:val="0"/>
              <w:bCs w:val="0"/>
              <w:sz w:val="32"/>
              <w:szCs w:val="32"/>
            </w:rPr>
            <w:tab/>
          </w:r>
          <w:bookmarkStart w:id="36" w:name="_Toc27879_WPSOffice_Level2Page"/>
          <w:r>
            <w:rPr>
              <w:b w:val="0"/>
              <w:bCs w:val="0"/>
              <w:sz w:val="32"/>
              <w:szCs w:val="32"/>
            </w:rPr>
            <w:t>54</w:t>
          </w:r>
          <w:bookmarkEnd w:id="36"/>
          <w:r>
            <w:rPr>
              <w:b w:val="0"/>
              <w:bCs w:val="0"/>
              <w:sz w:val="32"/>
              <w:szCs w:val="32"/>
            </w:rPr>
            <w:fldChar w:fldCharType="end"/>
          </w:r>
        </w:p>
        <w:p>
          <w:pPr>
            <w:pStyle w:val="28"/>
            <w:tabs>
              <w:tab w:val="right" w:leader="dot" w:pos="8845"/>
            </w:tabs>
            <w:rPr>
              <w:b w:val="0"/>
              <w:bCs w:val="0"/>
              <w:sz w:val="32"/>
              <w:szCs w:val="32"/>
            </w:rPr>
          </w:pPr>
          <w:r>
            <w:rPr>
              <w:b w:val="0"/>
              <w:bCs w:val="0"/>
              <w:sz w:val="32"/>
              <w:szCs w:val="32"/>
            </w:rPr>
            <w:fldChar w:fldCharType="begin"/>
          </w:r>
          <w:r>
            <w:rPr>
              <w:b w:val="0"/>
              <w:bCs w:val="0"/>
              <w:sz w:val="32"/>
              <w:szCs w:val="32"/>
            </w:rPr>
            <w:instrText xml:space="preserve"> HYPERLINK \l _Toc110_WPSOffice_Level2 </w:instrText>
          </w:r>
          <w:r>
            <w:rPr>
              <w:b w:val="0"/>
              <w:bCs w:val="0"/>
              <w:sz w:val="32"/>
              <w:szCs w:val="32"/>
            </w:rPr>
            <w:fldChar w:fldCharType="separate"/>
          </w:r>
          <w:sdt>
            <w:sdtPr>
              <w:rPr>
                <w:rFonts w:ascii="Times New Roman" w:hAnsi="Times New Roman" w:eastAsia="方正仿宋_GBK" w:cstheme="minorBidi"/>
                <w:b w:val="0"/>
                <w:bCs w:val="0"/>
                <w:kern w:val="2"/>
                <w:sz w:val="32"/>
                <w:szCs w:val="32"/>
                <w:lang w:val="en-US" w:eastAsia="zh-CN" w:bidi="ar-SA"/>
              </w:rPr>
              <w:id w:val="147455383"/>
              <w:placeholder>
                <w:docPart w:val="{f5f7af59-049c-44a5-aa22-ca6a40cbaaf0}"/>
              </w:placeholder>
            </w:sdtPr>
            <w:sdtEndPr>
              <w:rPr>
                <w:rFonts w:ascii="Times New Roman" w:hAnsi="Times New Roman" w:eastAsia="方正仿宋_GBK" w:cstheme="minorBidi"/>
                <w:b w:val="0"/>
                <w:bCs w:val="0"/>
                <w:kern w:val="2"/>
                <w:sz w:val="32"/>
                <w:szCs w:val="32"/>
                <w:lang w:val="en-US" w:eastAsia="zh-CN" w:bidi="ar-SA"/>
              </w:rPr>
            </w:sdtEndPr>
            <w:sdtContent>
              <w:r>
                <w:rPr>
                  <w:rFonts w:hint="eastAsia" w:ascii="Times New Roman" w:hAnsi="Times New Roman" w:eastAsia="方正楷体_GBK" w:cstheme="minorBidi"/>
                  <w:b w:val="0"/>
                  <w:bCs w:val="0"/>
                  <w:sz w:val="32"/>
                  <w:szCs w:val="32"/>
                </w:rPr>
                <w:t>（七）</w:t>
              </w:r>
              <w:r>
                <w:rPr>
                  <w:rFonts w:ascii="Times New Roman" w:hAnsi="Times New Roman" w:eastAsia="方正楷体_GBK" w:cstheme="minorBidi"/>
                  <w:b w:val="0"/>
                  <w:bCs w:val="0"/>
                  <w:sz w:val="32"/>
                  <w:szCs w:val="32"/>
                </w:rPr>
                <w:t>加强统计监测</w:t>
              </w:r>
            </w:sdtContent>
          </w:sdt>
          <w:r>
            <w:rPr>
              <w:b w:val="0"/>
              <w:bCs w:val="0"/>
              <w:sz w:val="32"/>
              <w:szCs w:val="32"/>
            </w:rPr>
            <w:tab/>
          </w:r>
          <w:bookmarkStart w:id="37" w:name="_Toc110_WPSOffice_Level2Page"/>
          <w:r>
            <w:rPr>
              <w:b w:val="0"/>
              <w:bCs w:val="0"/>
              <w:sz w:val="32"/>
              <w:szCs w:val="32"/>
            </w:rPr>
            <w:t>55</w:t>
          </w:r>
          <w:bookmarkEnd w:id="37"/>
          <w:r>
            <w:rPr>
              <w:b w:val="0"/>
              <w:bCs w:val="0"/>
              <w:sz w:val="32"/>
              <w:szCs w:val="32"/>
            </w:rPr>
            <w:fldChar w:fldCharType="end"/>
          </w:r>
        </w:p>
        <w:p>
          <w:pPr>
            <w:pStyle w:val="27"/>
            <w:tabs>
              <w:tab w:val="right" w:leader="dot" w:pos="8845"/>
            </w:tabs>
          </w:pPr>
          <w:r>
            <w:rPr>
              <w:b w:val="0"/>
              <w:bCs w:val="0"/>
              <w:sz w:val="32"/>
              <w:szCs w:val="32"/>
            </w:rPr>
            <w:fldChar w:fldCharType="begin"/>
          </w:r>
          <w:r>
            <w:rPr>
              <w:b w:val="0"/>
              <w:bCs w:val="0"/>
              <w:sz w:val="32"/>
              <w:szCs w:val="32"/>
            </w:rPr>
            <w:instrText xml:space="preserve"> HYPERLINK \l _Toc17970_WPSOffice_Level1 </w:instrText>
          </w:r>
          <w:r>
            <w:rPr>
              <w:b w:val="0"/>
              <w:bCs w:val="0"/>
              <w:sz w:val="32"/>
              <w:szCs w:val="32"/>
            </w:rPr>
            <w:fldChar w:fldCharType="separate"/>
          </w:r>
          <w:sdt>
            <w:sdtPr>
              <w:rPr>
                <w:rFonts w:hint="eastAsia" w:ascii="方正楷体_GBK" w:hAnsi="方正楷体_GBK" w:eastAsia="方正楷体_GBK" w:cs="方正楷体_GBK"/>
                <w:b w:val="0"/>
                <w:bCs w:val="0"/>
                <w:sz w:val="32"/>
                <w:szCs w:val="32"/>
                <w:lang w:val="en-US" w:eastAsia="zh-CN"/>
              </w:rPr>
              <w:id w:val="147455383"/>
              <w:placeholder>
                <w:docPart w:val="{4817b1ed-0981-4840-a7f0-8499d7d05fec}"/>
              </w:placeholder>
            </w:sdtPr>
            <w:sdtEndPr>
              <w:rPr>
                <w:rFonts w:hint="eastAsia" w:ascii="方正仿宋_GBK" w:hAnsi="方正仿宋_GBK" w:eastAsia="方正仿宋_GBK" w:cs="方正仿宋_GBK"/>
                <w:b w:val="0"/>
                <w:bCs w:val="0"/>
                <w:kern w:val="2"/>
                <w:sz w:val="32"/>
                <w:szCs w:val="32"/>
                <w:lang w:val="en-US" w:eastAsia="zh-CN" w:bidi="ar-SA"/>
              </w:rPr>
            </w:sdtEndPr>
            <w:sdtContent>
              <w:r>
                <w:rPr>
                  <w:rFonts w:hint="eastAsia" w:ascii="方正楷体_GBK" w:hAnsi="方正楷体_GBK" w:eastAsia="方正楷体_GBK" w:cs="方正楷体_GBK"/>
                  <w:b w:val="0"/>
                  <w:bCs w:val="0"/>
                  <w:sz w:val="32"/>
                  <w:szCs w:val="32"/>
                  <w:lang w:val="en-US" w:eastAsia="zh-CN"/>
                </w:rPr>
                <w:t>附件：</w:t>
              </w:r>
              <w:r>
                <w:rPr>
                  <w:rFonts w:hint="eastAsia" w:ascii="方正楷体_GBK" w:hAnsi="方正楷体_GBK" w:eastAsia="方正楷体_GBK" w:cs="方正楷体_GBK"/>
                  <w:b w:val="0"/>
                  <w:bCs w:val="0"/>
                  <w:sz w:val="32"/>
                  <w:szCs w:val="32"/>
                </w:rPr>
                <w:t>黔江区服务业高质量发展“十四五”规划重大项目表</w:t>
              </w:r>
            </w:sdtContent>
          </w:sdt>
          <w:r>
            <w:rPr>
              <w:b w:val="0"/>
              <w:bCs w:val="0"/>
              <w:sz w:val="32"/>
              <w:szCs w:val="32"/>
            </w:rPr>
            <w:tab/>
          </w:r>
          <w:bookmarkStart w:id="38" w:name="_Toc17970_WPSOffice_Level1Page"/>
          <w:r>
            <w:rPr>
              <w:b w:val="0"/>
              <w:bCs w:val="0"/>
              <w:sz w:val="32"/>
              <w:szCs w:val="32"/>
            </w:rPr>
            <w:t>56</w:t>
          </w:r>
          <w:bookmarkEnd w:id="38"/>
          <w:r>
            <w:rPr>
              <w:b w:val="0"/>
              <w:bCs w:val="0"/>
              <w:sz w:val="32"/>
              <w:szCs w:val="32"/>
            </w:rPr>
            <w:fldChar w:fldCharType="end"/>
          </w:r>
          <w:bookmarkEnd w:id="0"/>
        </w:p>
      </w:sdtContent>
    </w:sdt>
    <w:p>
      <w:pPr>
        <w:snapToGrid/>
        <w:spacing w:before="0" w:beforeAutospacing="0" w:after="0" w:afterAutospacing="0" w:line="579" w:lineRule="exact"/>
        <w:jc w:val="center"/>
        <w:textAlignment w:val="baseline"/>
        <w:rPr>
          <w:rStyle w:val="8"/>
          <w:rFonts w:ascii="Times New Roman" w:hAnsi="Times New Roman" w:eastAsia="方正小标宋_GBK"/>
          <w:b w:val="0"/>
          <w:i w:val="0"/>
          <w:caps w:val="0"/>
          <w:spacing w:val="0"/>
          <w:w w:val="100"/>
          <w:kern w:val="2"/>
          <w:sz w:val="44"/>
          <w:szCs w:val="44"/>
          <w:lang w:val="en-US" w:eastAsia="zh-CN" w:bidi="ar-SA"/>
        </w:rPr>
        <w:sectPr>
          <w:footerReference r:id="rId9" w:type="default"/>
          <w:footerReference r:id="rId10" w:type="even"/>
          <w:pgSz w:w="11906" w:h="16838"/>
          <w:pgMar w:top="2098" w:right="1474" w:bottom="1984" w:left="1587" w:header="851" w:footer="1474" w:gutter="0"/>
          <w:lnNumType w:countBy="0"/>
          <w:pgNumType w:fmt="decimal"/>
          <w:cols w:space="425" w:num="1"/>
          <w:docGrid w:type="linesAndChars" w:linePitch="589" w:charSpace="-842"/>
        </w:sectPr>
      </w:pPr>
    </w:p>
    <w:p>
      <w:pPr>
        <w:snapToGrid/>
        <w:spacing w:before="0" w:beforeAutospacing="0" w:after="0" w:afterAutospacing="0" w:line="579" w:lineRule="exact"/>
        <w:jc w:val="center"/>
        <w:textAlignment w:val="baseline"/>
        <w:rPr>
          <w:rStyle w:val="8"/>
          <w:rFonts w:eastAsia="方正仿宋_GBK"/>
          <w:b w:val="0"/>
          <w:i w:val="0"/>
          <w:caps w:val="0"/>
          <w:spacing w:val="0"/>
          <w:w w:val="100"/>
          <w:kern w:val="2"/>
          <w:sz w:val="32"/>
          <w:lang w:val="en-US" w:eastAsia="zh-CN" w:bidi="ar-SA"/>
        </w:rPr>
      </w:pPr>
    </w:p>
    <w:p>
      <w:pPr>
        <w:snapToGrid/>
        <w:spacing w:before="0" w:beforeAutospacing="0" w:after="0" w:afterAutospacing="0" w:line="579" w:lineRule="exact"/>
        <w:jc w:val="center"/>
        <w:textAlignment w:val="baseline"/>
        <w:rPr>
          <w:rStyle w:val="8"/>
          <w:rFonts w:ascii="Times New Roman" w:hAnsi="Times New Roman" w:eastAsia="方正小标宋_GBK"/>
          <w:b w:val="0"/>
          <w:i w:val="0"/>
          <w:caps w:val="0"/>
          <w:spacing w:val="0"/>
          <w:w w:val="100"/>
          <w:kern w:val="2"/>
          <w:sz w:val="44"/>
          <w:szCs w:val="44"/>
          <w:lang w:val="en-US" w:eastAsia="zh-CN" w:bidi="ar-SA"/>
        </w:rPr>
      </w:pPr>
      <w:bookmarkStart w:id="39" w:name="_Toc1856_WPSOffice_Level1"/>
      <w:r>
        <w:rPr>
          <w:rStyle w:val="8"/>
          <w:rFonts w:ascii="Times New Roman" w:hAnsi="Times New Roman" w:eastAsia="方正小标宋_GBK"/>
          <w:b w:val="0"/>
          <w:i w:val="0"/>
          <w:caps w:val="0"/>
          <w:spacing w:val="0"/>
          <w:w w:val="100"/>
          <w:kern w:val="2"/>
          <w:sz w:val="44"/>
          <w:szCs w:val="44"/>
          <w:lang w:val="en-US" w:eastAsia="zh-CN" w:bidi="ar-SA"/>
        </w:rPr>
        <w:t>黔江区服务业高质量发展“十四五”规划</w:t>
      </w:r>
      <w:bookmarkEnd w:id="39"/>
    </w:p>
    <w:p>
      <w:pPr>
        <w:pageBreakBefore w:val="0"/>
        <w:widowControl/>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pageBreakBefore w:val="0"/>
        <w:widowControl/>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加快服务业现代化进程，提高服务业发展质量和水平，进一步增强服务经济发展新动能，是适应和引领新常态，实现产业结构优化、转变经济发展方式的重要途径。为贯彻落实中共中央、国务院关于推动高质量发展的决策部署和重庆市人民政府关于新形势下推动服务业高质量发展的实施意见，按照区委、区政府积极融入成渝地区双城经济圈建设和“一区两群”协调发展战略，全面提升服务业高端化能力建设的工作要求，特制定本规划。</w:t>
      </w:r>
    </w:p>
    <w:p>
      <w:pPr>
        <w:pStyle w:val="10"/>
        <w:keepLines/>
        <w:pageBreakBefore w:val="0"/>
        <w:widowControl/>
        <w:kinsoku/>
        <w:wordWrap/>
        <w:overflowPunct/>
        <w:topLinePunct w:val="0"/>
        <w:autoSpaceDE/>
        <w:autoSpaceDN/>
        <w:bidi w:val="0"/>
        <w:adjustRightInd/>
        <w:snapToGrid/>
        <w:spacing w:before="0" w:beforeAutospacing="0" w:after="0" w:afterAutospacing="0" w:line="579" w:lineRule="exact"/>
        <w:ind w:right="0" w:rightChars="0" w:firstLine="632" w:firstLineChars="200"/>
        <w:jc w:val="both"/>
        <w:textAlignment w:val="baseline"/>
        <w:rPr>
          <w:rStyle w:val="8"/>
          <w:rFonts w:ascii="方正黑体_GBK" w:hAnsi="方正黑体_GBK" w:eastAsia="方正黑体_GBK" w:cs="方正黑体_GBK"/>
          <w:b w:val="0"/>
          <w:bCs/>
          <w:i w:val="0"/>
          <w:caps w:val="0"/>
          <w:spacing w:val="0"/>
          <w:w w:val="100"/>
          <w:kern w:val="44"/>
          <w:sz w:val="32"/>
          <w:szCs w:val="32"/>
          <w:lang w:val="en-US" w:eastAsia="zh-CN" w:bidi="ar-SA"/>
        </w:rPr>
      </w:pPr>
      <w:bookmarkStart w:id="40" w:name="_Toc4424_WPSOffice_Level1"/>
      <w:r>
        <w:rPr>
          <w:rStyle w:val="8"/>
          <w:rFonts w:ascii="方正黑体_GBK" w:hAnsi="方正黑体_GBK" w:eastAsia="方正黑体_GBK" w:cs="方正黑体_GBK"/>
          <w:b w:val="0"/>
          <w:bCs/>
          <w:i w:val="0"/>
          <w:caps w:val="0"/>
          <w:spacing w:val="0"/>
          <w:w w:val="100"/>
          <w:kern w:val="44"/>
          <w:sz w:val="32"/>
          <w:szCs w:val="32"/>
          <w:lang w:val="en-US" w:eastAsia="zh-CN" w:bidi="ar-SA"/>
        </w:rPr>
        <w:t>一、黔江区服务业发展基础及背景</w:t>
      </w:r>
      <w:bookmarkEnd w:id="40"/>
    </w:p>
    <w:p>
      <w:pPr>
        <w:pStyle w:val="16"/>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41" w:name="_Toc4424_WPSOffice_Level2"/>
      <w:r>
        <w:rPr>
          <w:rStyle w:val="8"/>
          <w:rFonts w:ascii="Times New Roman" w:hAnsi="Times New Roman" w:eastAsia="方正楷体_GBK"/>
          <w:b w:val="0"/>
          <w:i w:val="0"/>
          <w:caps w:val="0"/>
          <w:color w:val="000000"/>
          <w:spacing w:val="0"/>
          <w:w w:val="100"/>
          <w:kern w:val="2"/>
          <w:sz w:val="32"/>
          <w:szCs w:val="32"/>
          <w:lang w:val="en-US" w:eastAsia="zh-CN" w:bidi="ar-SA"/>
        </w:rPr>
        <w:t>“十三五”以来服务业发展现状及问题</w:t>
      </w:r>
      <w:bookmarkEnd w:id="41"/>
    </w:p>
    <w:p>
      <w:pPr>
        <w:pageBreakBefore w:val="0"/>
        <w:widowControl/>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“十三五”以来，黔江服务业坚持以市场需求为导向、以现代技术为支撑、以开放合作为突破，不断推动产业向价值链高端延伸，积极促进产业间深度融合，服务业现代化水平不断提升，发展环境持续优化。</w:t>
      </w:r>
    </w:p>
    <w:p>
      <w:pPr>
        <w:pStyle w:val="16"/>
        <w:pageBreakBefore w:val="0"/>
        <w:widowControl/>
        <w:numPr>
          <w:ilvl w:val="0"/>
          <w:numId w:val="2"/>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服务业规模稳步增长。“</w:t>
      </w:r>
      <w:r>
        <w:rPr>
          <w:rStyle w:val="8"/>
          <w:rFonts w:ascii="Times New Roman" w:hAnsi="Times New Roman" w:eastAsia="方正仿宋_GBK"/>
          <w:b w:val="0"/>
          <w:i w:val="0"/>
          <w:caps w:val="0"/>
          <w:color w:val="000000"/>
          <w:spacing w:val="0"/>
          <w:w w:val="100"/>
          <w:kern w:val="2"/>
          <w:sz w:val="32"/>
          <w:szCs w:val="32"/>
          <w:lang w:val="en-US" w:eastAsia="zh-CN" w:bidi="ar-SA"/>
        </w:rPr>
        <w:t>十三五</w:t>
      </w:r>
      <w:r>
        <w:rPr>
          <w:rStyle w:val="8"/>
          <w:rFonts w:ascii="Times New Roman" w:hAnsi="Times New Roman" w:eastAsia="方正楷体_GBK"/>
          <w:b w:val="0"/>
          <w:i w:val="0"/>
          <w:caps w:val="0"/>
          <w:color w:val="000000"/>
          <w:spacing w:val="0"/>
          <w:w w:val="100"/>
          <w:kern w:val="2"/>
          <w:sz w:val="32"/>
          <w:szCs w:val="32"/>
          <w:lang w:val="en-US" w:eastAsia="zh-CN" w:bidi="ar-SA"/>
        </w:rPr>
        <w:t>”</w:t>
      </w:r>
      <w:r>
        <w:rPr>
          <w:rStyle w:val="8"/>
          <w:rFonts w:ascii="Times New Roman" w:hAnsi="Times New Roman" w:eastAsia="方正仿宋_GBK"/>
          <w:b w:val="0"/>
          <w:i w:val="0"/>
          <w:caps w:val="0"/>
          <w:color w:val="000000"/>
          <w:spacing w:val="0"/>
          <w:w w:val="100"/>
          <w:kern w:val="2"/>
          <w:sz w:val="32"/>
          <w:szCs w:val="32"/>
          <w:lang w:val="en-US" w:eastAsia="zh-CN" w:bidi="ar-SA"/>
        </w:rPr>
        <w:t>以来，黔江区服务业发展实现“量质齐升”，增加值由</w:t>
      </w:r>
      <w:r>
        <w:rPr>
          <w:rStyle w:val="8"/>
          <w:rFonts w:hint="eastAsia"/>
          <w:b w:val="0"/>
          <w:i w:val="0"/>
          <w:caps w:val="0"/>
          <w:color w:val="000000"/>
          <w:spacing w:val="0"/>
          <w:w w:val="100"/>
          <w:kern w:val="2"/>
          <w:sz w:val="32"/>
          <w:szCs w:val="32"/>
          <w:lang w:val="en-US" w:eastAsia="zh-CN" w:bidi="ar-SA"/>
        </w:rPr>
        <w:t>“</w:t>
      </w:r>
      <w:r>
        <w:rPr>
          <w:rStyle w:val="8"/>
          <w:rFonts w:ascii="Times New Roman" w:hAnsi="Times New Roman" w:eastAsia="方正仿宋_GBK"/>
          <w:b w:val="0"/>
          <w:i w:val="0"/>
          <w:caps w:val="0"/>
          <w:color w:val="000000"/>
          <w:spacing w:val="0"/>
          <w:w w:val="100"/>
          <w:kern w:val="2"/>
          <w:sz w:val="32"/>
          <w:szCs w:val="32"/>
          <w:lang w:val="en-US" w:eastAsia="zh-CN" w:bidi="ar-SA"/>
        </w:rPr>
        <w:t>十二五</w:t>
      </w:r>
      <w:r>
        <w:rPr>
          <w:rStyle w:val="8"/>
          <w:rFonts w:hint="eastAsia"/>
          <w:b w:val="0"/>
          <w:i w:val="0"/>
          <w:caps w:val="0"/>
          <w:color w:val="000000"/>
          <w:spacing w:val="0"/>
          <w:w w:val="100"/>
          <w:kern w:val="2"/>
          <w:sz w:val="32"/>
          <w:szCs w:val="32"/>
          <w:lang w:val="en-US" w:eastAsia="zh-CN" w:bidi="ar-SA"/>
        </w:rPr>
        <w:t>”</w:t>
      </w:r>
      <w:r>
        <w:rPr>
          <w:rStyle w:val="8"/>
          <w:rFonts w:ascii="Times New Roman" w:hAnsi="Times New Roman" w:eastAsia="方正仿宋_GBK"/>
          <w:b w:val="0"/>
          <w:i w:val="0"/>
          <w:caps w:val="0"/>
          <w:color w:val="000000"/>
          <w:spacing w:val="0"/>
          <w:w w:val="100"/>
          <w:kern w:val="2"/>
          <w:sz w:val="32"/>
          <w:szCs w:val="32"/>
          <w:lang w:val="en-US" w:eastAsia="zh-CN" w:bidi="ar-SA"/>
        </w:rPr>
        <w:t>末期2015年的81.3亿元增加到2020年的126.7亿元，年均增长7.3%，高于全区GDP年均增速0.5个百分点，快于第二产业增加值年均增速1.1个百分点。服务业增加值占GDP比重由2015年49.5%增加至2020年的51.7%，提高2.2个百分点。2020年服务业投资占全社会固定资产投资的比重达到78%。服务业在经济社会发展中的作用日益突出，成为推动转型发展的重要引擎。</w:t>
      </w:r>
    </w:p>
    <w:p>
      <w:pPr>
        <w:pStyle w:val="16"/>
        <w:pageBreakBefore w:val="0"/>
        <w:widowControl/>
        <w:numPr>
          <w:ilvl w:val="0"/>
          <w:numId w:val="2"/>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发展质量持续提升。</w:t>
      </w:r>
      <w:r>
        <w:rPr>
          <w:rStyle w:val="8"/>
          <w:rFonts w:ascii="Times New Roman" w:hAnsi="Times New Roman" w:eastAsia="方正仿宋_GBK"/>
          <w:b w:val="0"/>
          <w:i w:val="0"/>
          <w:caps w:val="0"/>
          <w:color w:val="000000"/>
          <w:spacing w:val="0"/>
          <w:w w:val="100"/>
          <w:kern w:val="2"/>
          <w:sz w:val="32"/>
          <w:szCs w:val="32"/>
          <w:lang w:val="en-US" w:eastAsia="zh-CN" w:bidi="ar-SA"/>
        </w:rPr>
        <w:t>黔江服务业结构不断优化，新兴行业不断涌现迸发活力，文化与科技、旅游、商贸逐步融合发展，高端化特征初步显现，高技术含量、高附加值的服务业加快发展。一是现代物流产业加速发展。正阳现代物流园加快建设，累计完成投资25亿元，建成投用物流仓储15万平方米，建成投产物流产业项目7个。依托正阳现代物流园，重点商贸流通项目有序建设，吉之汇农贸物流城、武陵山现代粮食物流中心（渝东南军粮供应中心）、渝东南成品油储备中心建成投用，渝东南冷链物流中心已形成农产品仓储、加工、配送、批发等综合功能的农产品集散中心。全区已初步形成物流园区、配送中心、末端网点等现代物流网络</w:t>
      </w:r>
      <w:r>
        <w:rPr>
          <w:rStyle w:val="8"/>
          <w:rFonts w:hint="eastAsia"/>
          <w:b w:val="0"/>
          <w:i w:val="0"/>
          <w:caps w:val="0"/>
          <w:color w:val="000000"/>
          <w:spacing w:val="0"/>
          <w:w w:val="100"/>
          <w:kern w:val="2"/>
          <w:sz w:val="32"/>
          <w:szCs w:val="32"/>
          <w:lang w:val="en-US" w:eastAsia="zh-CN" w:bidi="ar-SA"/>
        </w:rPr>
        <w:t>市</w:t>
      </w:r>
      <w:r>
        <w:rPr>
          <w:rStyle w:val="8"/>
          <w:rFonts w:ascii="Times New Roman" w:hAnsi="Times New Roman" w:eastAsia="方正仿宋_GBK"/>
          <w:b w:val="0"/>
          <w:i w:val="0"/>
          <w:caps w:val="0"/>
          <w:color w:val="000000"/>
          <w:spacing w:val="0"/>
          <w:w w:val="100"/>
          <w:kern w:val="2"/>
          <w:sz w:val="32"/>
          <w:szCs w:val="32"/>
          <w:lang w:val="en-US" w:eastAsia="zh-CN" w:bidi="ar-SA"/>
        </w:rPr>
        <w:t>体系。二是电子商务发展步入“快车道”。全区工商注册电商企业、微店的主体有近4000家，自建平台（专区）22个，已培育凯松电子、亲戚田园两家电子商务公司成为限上商贸企业，线上线下融合发展、农村电商发展不断加快，2019年实现电商交易总额、网络零售额、农产品网络销售额同比分别增长6.5%、8.2%、13.8%；2020年受疫情影响，电商交易总额、网络零售额同比分别有所下降，农产品网络销售额同比增长25.9%。三是金融服务业快速发展。2020年金融业增加值15.76亿元，增长4%。全区金融机构数量达56家，成为渝东南地区金融机构数量最多种类最齐的区县，其中银行机构11家、证券公司4家、保险公司21家，其他金融机构20家。引入恒丰银行来黔设立支行，填补渝东南地区无全国性股份制商业银行空白；引进安信证券、长城证券来黔设立重庆分公司，成为首个拥有证券类金融机构市级分支机构的远郊区县。新引进中和农信、人保小贷等2家互联网小贷公司，实现沣和小贷转型升级为互联网小贷。四是文化旅游业迅速发展。按照“一城主导、一江拉动、一点引爆、全域发展”思路，</w:t>
      </w:r>
      <w:r>
        <w:rPr>
          <w:rStyle w:val="8"/>
          <w:rFonts w:ascii="Times New Roman" w:hAnsi="Times New Roman" w:eastAsia="方正仿宋_GBK"/>
          <w:b w:val="0"/>
          <w:i w:val="0"/>
          <w:caps w:val="0"/>
          <w:spacing w:val="0"/>
          <w:w w:val="100"/>
          <w:kern w:val="2"/>
          <w:sz w:val="32"/>
          <w:szCs w:val="32"/>
          <w:lang w:val="en-US" w:eastAsia="zh-CN" w:bidi="ar-SA"/>
        </w:rPr>
        <w:t>加快建设全景黔江，突出“中国峡谷城·武陵会客厅——清新黔江”旅游主题形象，推动旅游大区向旅游强区、旅游美区阔步迈进。濯水景区成功创建国家5A旅游景区，全区形成1个5A+、7个4A景区</w:t>
      </w:r>
      <w:r>
        <w:rPr>
          <w:rStyle w:val="8"/>
          <w:rFonts w:ascii="Times New Roman" w:hAnsi="Times New Roman" w:eastAsia="方正仿宋_GBK"/>
          <w:b w:val="0"/>
          <w:i w:val="0"/>
          <w:caps w:val="0"/>
          <w:color w:val="000000"/>
          <w:spacing w:val="0"/>
          <w:w w:val="100"/>
          <w:kern w:val="2"/>
          <w:sz w:val="32"/>
          <w:szCs w:val="32"/>
          <w:lang w:val="en-US" w:eastAsia="zh-CN" w:bidi="ar-SA"/>
        </w:rPr>
        <w:t>方阵。总投资120亿元以上的三塘盖国际旅游康养度假区正式启动，获评首批市级全域旅游示范区，旅游经济井喷式增长，旅游接待总人次和综合总收入年均增速40%以上。民族歌舞《濯水谣》多次走上世界、国家大型舞台，武陵山国际民俗文化旅游节、山地马拉松、中国跑客节等重大品牌活动持续举办，文化体育影响力和知名度不断提升。</w:t>
      </w:r>
    </w:p>
    <w:p>
      <w:pPr>
        <w:pStyle w:val="16"/>
        <w:pageBreakBefore w:val="0"/>
        <w:widowControl/>
        <w:numPr>
          <w:ilvl w:val="0"/>
          <w:numId w:val="2"/>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产业特色日益彰显。</w:t>
      </w:r>
      <w:r>
        <w:rPr>
          <w:rStyle w:val="8"/>
          <w:rFonts w:ascii="Times New Roman" w:hAnsi="Times New Roman" w:eastAsia="方正仿宋_GBK"/>
          <w:b w:val="0"/>
          <w:i w:val="0"/>
          <w:caps w:val="0"/>
          <w:color w:val="000000"/>
          <w:spacing w:val="0"/>
          <w:w w:val="100"/>
          <w:kern w:val="2"/>
          <w:sz w:val="32"/>
          <w:szCs w:val="32"/>
          <w:lang w:val="en-US" w:eastAsia="zh-CN" w:bidi="ar-SA"/>
        </w:rPr>
        <w:t>围绕打造武陵山区文化旅游融合发展先行区，黔江正积极布局以濯水非遗小镇、冯家官村创4A景区等为代表的现代商贸、文化旅游、大健康、现代物流、涉农增值服务等服务业。荣获“全国首批生态旅游胜地”“2019中国最佳品质文化旅游目的地”称号。濯水古镇荣获“海外游客最想去的内地新兴旅游线路”和“旅游线路金奖”。濯水景区毕兹卡水乐园、旅游电商中心、智慧旅游系统投用，获评全国唯一“中国韵文化景区”。大十字智慧商圈提档升级，建成集智慧交通、智慧商城、智慧金融、智慧物流、智慧物业、智慧决策、商管智能化、农超对接智能化等8个模块于一体的“线上+线下、商品+服务、零售+体验”的智慧商圈。新城三磊会展中心建成投用。开展武陵山家居博览会、汽车博览会、鸡杂美食节、特色美食展等展销活动。成功创建全市公益性农产品市场体系建设示范区。</w:t>
      </w:r>
    </w:p>
    <w:p>
      <w:pPr>
        <w:pStyle w:val="16"/>
        <w:pageBreakBefore w:val="0"/>
        <w:widowControl/>
        <w:numPr>
          <w:ilvl w:val="0"/>
          <w:numId w:val="2"/>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发展环境不断优化。</w:t>
      </w:r>
      <w:r>
        <w:rPr>
          <w:rStyle w:val="8"/>
          <w:rFonts w:ascii="Times New Roman" w:hAnsi="Times New Roman" w:eastAsia="方正仿宋_GBK"/>
          <w:b w:val="0"/>
          <w:i w:val="0"/>
          <w:caps w:val="0"/>
          <w:color w:val="000000"/>
          <w:spacing w:val="0"/>
          <w:w w:val="100"/>
          <w:kern w:val="2"/>
          <w:sz w:val="32"/>
          <w:szCs w:val="32"/>
          <w:lang w:val="en-US" w:eastAsia="zh-CN" w:bidi="ar-SA"/>
        </w:rPr>
        <w:t>全区深入推进政府行政审批制度改革，加强社会信用体系建设，体制机制改革卓有成效。企业融资环境日益改善，使用专项再贷款向小微企业发放低息贷款，融资成本进一步走低。制定出台促进服务业发展的政策意见、人才优惠政策措施，以及创新驱动发展战略工作方案和金融、商贸、电子商务、物流等专项规划，营造了“差异竞争、开放共享、行业细分、模式创新”的服务业发展环境。</w:t>
      </w:r>
    </w:p>
    <w:p>
      <w:pPr>
        <w:pageBreakBefore w:val="0"/>
        <w:widowControl/>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“十三五”时期黔江区服务业发展虽然取得较好的成绩，但与发达地区和同类城市相比，仍存在一些明显短板和不足。具体表现为：</w:t>
      </w:r>
    </w:p>
    <w:p>
      <w:pPr>
        <w:pStyle w:val="2"/>
        <w:pageBreakBefore w:val="0"/>
        <w:widowControl/>
        <w:kinsoku/>
        <w:wordWrap/>
        <w:overflowPunct/>
        <w:topLinePunct w:val="0"/>
        <w:autoSpaceDE/>
        <w:autoSpaceDN/>
        <w:bidi w:val="0"/>
        <w:adjustRightInd/>
        <w:snapToGrid/>
        <w:ind w:right="0" w:rightChars="0"/>
        <w:textAlignment w:val="baseline"/>
        <w:rPr>
          <w:lang w:val="en-US" w:eastAsia="zh-CN"/>
        </w:rPr>
      </w:pPr>
      <w:r>
        <w:rPr>
          <w:rStyle w:val="8"/>
          <w:rFonts w:hint="eastAsia" w:ascii="Times New Roman" w:hAnsi="Times New Roman" w:eastAsia="方正仿宋_GBK"/>
          <w:b w:val="0"/>
          <w:i w:val="0"/>
          <w:caps w:val="0"/>
          <w:color w:val="000000"/>
          <w:spacing w:val="0"/>
          <w:w w:val="100"/>
          <w:kern w:val="2"/>
          <w:sz w:val="32"/>
          <w:szCs w:val="32"/>
          <w:lang w:val="en-US" w:eastAsia="zh-CN" w:bidi="ar-SA"/>
        </w:rPr>
        <w:t xml:space="preserve">    </w:t>
      </w:r>
    </w:p>
    <w:p>
      <w:pPr>
        <w:pStyle w:val="19"/>
        <w:pageBreakBefore w:val="0"/>
        <w:widowControl/>
        <w:tabs>
          <w:tab w:val="left" w:pos="0"/>
        </w:tabs>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服务业发展层次有待提高。交通运输仓储和邮政、批发零售、住宿餐饮等传统服务业的产业规模占比较大，大健康服务、科技服务、软件及信息技术服务等高端服务业发展滞后。服务业市场呈现出“三多三少”的特点：小企业多、个体户多、分支机构多，个体户转企业少、规模以上企业少、大型服务业企业少。产业发展聚焦度不够，在细分领域、细分行业上还没有形成一批特色鲜明、优势突出、规模效应明显、区域有较强影响力的“拳头”产品和“高峰”产业集群。批发、零售、住宿、餐饮等传统服务业倾向低端路线，高端消费群体有效成长不足，规模以上服务业企业新增乏力。</w:t>
      </w:r>
      <w:r>
        <w:rPr>
          <w:rStyle w:val="8"/>
          <w:rFonts w:ascii="Times New Roman" w:hAnsi="Times New Roman" w:eastAsia="方正仿宋_GBK"/>
          <w:b w:val="0"/>
          <w:i w:val="0"/>
          <w:caps w:val="0"/>
          <w:spacing w:val="0"/>
          <w:w w:val="100"/>
          <w:sz w:val="32"/>
          <w:szCs w:val="32"/>
          <w:lang w:eastAsia="zh-CN"/>
        </w:rPr>
        <w:t>金融机构总量和类别仍然不足。目前辐射渝东南开展业务的金融机构数量不多，金融保理公司、资产管理公司、消费金融公司等新型金融业态还是空白，集聚效应、示范效应、带动效应不明显。</w:t>
      </w:r>
      <w:r>
        <w:rPr>
          <w:rStyle w:val="8"/>
          <w:rFonts w:ascii="Times New Roman" w:hAnsi="Times New Roman" w:eastAsia="方正仿宋_GBK"/>
          <w:b w:val="0"/>
          <w:i w:val="0"/>
          <w:caps w:val="0"/>
          <w:color w:val="000000"/>
          <w:spacing w:val="0"/>
          <w:w w:val="100"/>
          <w:sz w:val="32"/>
          <w:szCs w:val="32"/>
          <w:lang w:val="en-US" w:eastAsia="zh-CN"/>
        </w:rPr>
        <w:t>生产性服务业对生产制造业的提升调优作用有限，缺乏专业的科技研发企业针对性地辅助黔江产业的开发，生产制造企业未与大型零售贸易企业形成市场数据的良性互动，缺乏专业的市场数据企业提供精准的工业消费者消费数据，产业集群与区域物流体系缺乏协同互作。</w:t>
      </w:r>
    </w:p>
    <w:p>
      <w:pPr>
        <w:pStyle w:val="19"/>
        <w:pageBreakBefore w:val="0"/>
        <w:widowControl/>
        <w:tabs>
          <w:tab w:val="left" w:pos="0"/>
        </w:tabs>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创新能力有待加强。物流基础薄弱，信息化程度低。全区无综合物流龙头企业，多数物流企业只有公路运输业务，且以自营物流为主，业务单一，企业物流成本较高；公、铁、空相互间衔接配合较差，缺乏一体化综合交通换乘枢纽，没有以信息化为支撑的专业化、标准化、综合性的物流服务增值平台，现代物流的信息业、配送业、仓储以及多方式配送和商品交易没有形成链条，导致综合运输效率低，难以适应城市发展和产业需要。传统商贸业仍占主导地位，电子商务、跨境电商、会展经济、分享经济等新业态、新模式发展不快。旅游业仍处在观光旅游产品占主导的发展初期，生态旅游、休闲度假旅游等新型旅游产品才刚起步，开发档次和结构有待提升。文化和旅游融合不足，创新能力不足，大多数景区文化内涵挖掘不够，文化创意开发不足，缺少黔江区优秀传统文化特色的旅游演艺产品。</w:t>
      </w:r>
    </w:p>
    <w:p>
      <w:pPr>
        <w:pStyle w:val="19"/>
        <w:keepNext w:val="0"/>
        <w:keepLines w:val="0"/>
        <w:pageBreakBefore w:val="0"/>
        <w:widowControl w:val="0"/>
        <w:tabs>
          <w:tab w:val="left" w:pos="0"/>
        </w:tabs>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对外辐射服务能力有待增强。服务贸易水平不高，规模较小，且仍以运输、旅游等传统类型为主，高附加值新兴贸易领域占比不高。全区产品大多处于产业链低端，出口量小。区内企业仅有科瑞南海、佰裕佳食品2家企业拥有自主品牌自营出口，加工贸易和服务贸易企业为“零”，贸易形式单一。外贸进出口规模小，我区无外向型实体总部企业，区内有进出口实绩的外贸企业产品量小且单一，没有形成产业链集群向外发展。开放通道建设明显滞后，现有机场、铁路、高速公路等对外通道服务半径小且总体通畅度不高，导致货运时间长、物流成本高，严重制约了开放型经济的发展。</w:t>
      </w:r>
    </w:p>
    <w:p>
      <w:pPr>
        <w:pStyle w:val="19"/>
        <w:keepNext w:val="0"/>
        <w:keepLines w:val="0"/>
        <w:pageBreakBefore w:val="0"/>
        <w:widowControl w:val="0"/>
        <w:tabs>
          <w:tab w:val="left" w:pos="0"/>
          <w:tab w:val="left" w:pos="8820"/>
        </w:tabs>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——支撑服务业发展的基础环境有待完善。尚未建立全区统一的促进服务业发展领导机制，行业协会等社会组织的引领指导和监管作用尚未充分体现。服务业管理工作总体较散、各自为</w:t>
      </w:r>
      <w:r>
        <w:rPr>
          <w:rStyle w:val="8"/>
          <w:rFonts w:hint="eastAsia" w:ascii="Times New Roman" w:hAnsi="Times New Roman"/>
          <w:b w:val="0"/>
          <w:i w:val="0"/>
          <w:caps w:val="0"/>
          <w:color w:val="000000"/>
          <w:spacing w:val="0"/>
          <w:w w:val="100"/>
          <w:sz w:val="32"/>
          <w:szCs w:val="32"/>
          <w:lang w:val="en-US" w:eastAsia="zh-CN"/>
        </w:rPr>
        <w:t>政</w:t>
      </w:r>
      <w:r>
        <w:rPr>
          <w:rStyle w:val="8"/>
          <w:rFonts w:ascii="Times New Roman" w:hAnsi="Times New Roman" w:eastAsia="方正仿宋_GBK"/>
          <w:b w:val="0"/>
          <w:i w:val="0"/>
          <w:caps w:val="0"/>
          <w:color w:val="000000"/>
          <w:spacing w:val="0"/>
          <w:w w:val="100"/>
          <w:sz w:val="32"/>
          <w:szCs w:val="32"/>
          <w:lang w:val="en-US" w:eastAsia="zh-CN"/>
        </w:rPr>
        <w:t>，尚未形成分工协作体制机制，无法形成工作合力。知识产权保护、征信体系、标准认证体系、统计监测体系等方面建设相对滞后，服务业专业人才储备相对不足，针对新产业、新业态、新模式、新技术的相关配套措施亟需进一步跟进。</w:t>
      </w:r>
    </w:p>
    <w:p>
      <w:pPr>
        <w:pStyle w:val="16"/>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42" w:name="_Toc9133_WPSOffice_Level2"/>
      <w:r>
        <w:rPr>
          <w:rStyle w:val="8"/>
          <w:rFonts w:ascii="Times New Roman" w:hAnsi="Times New Roman" w:eastAsia="方正楷体_GBK"/>
          <w:b w:val="0"/>
          <w:i w:val="0"/>
          <w:caps w:val="0"/>
          <w:color w:val="000000"/>
          <w:spacing w:val="0"/>
          <w:w w:val="100"/>
          <w:kern w:val="2"/>
          <w:sz w:val="32"/>
          <w:szCs w:val="32"/>
          <w:lang w:val="en-US" w:eastAsia="zh-CN" w:bidi="ar-SA"/>
        </w:rPr>
        <w:t>发展优势</w:t>
      </w:r>
      <w:bookmarkEnd w:id="42"/>
    </w:p>
    <w:p>
      <w:pPr>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区位优势明显。</w:t>
      </w:r>
      <w:r>
        <w:rPr>
          <w:rStyle w:val="8"/>
          <w:rFonts w:ascii="Times New Roman" w:hAnsi="Times New Roman" w:eastAsia="方正仿宋_GBK"/>
          <w:b w:val="0"/>
          <w:i w:val="0"/>
          <w:caps w:val="0"/>
          <w:color w:val="000000"/>
          <w:spacing w:val="0"/>
          <w:w w:val="100"/>
          <w:kern w:val="2"/>
          <w:sz w:val="32"/>
          <w:szCs w:val="32"/>
          <w:lang w:val="en-US" w:eastAsia="zh-CN" w:bidi="ar-SA"/>
        </w:rPr>
        <w:t>黔江区地处武陵山腹地、渝东南中心地带，是重庆市委、市政府确定的渝东南中心城市，也是国家《武陵山片区区域发展与扶贫攻坚规划》定位的武陵山片区6个中心城市之一，是重庆与长沙、武汉、贵阳三个省会城市的几何中心，是川渝地区进入东南沿海最为便捷的陆上通道和重要出口，必将成为面向全国、辐射西南的现代物流战略节点城市。经过多年的建设，已初步形成集“铁公机”于一体的武陵山区域立体交通枢纽。航空方面，武陵山机场2010年正式通航，目前已开通上海、广州等13条航线，是重庆“一大四小”机场格局的重要组成部分；铁路方面，渝怀铁路纵贯全境，引领黔江进入动车时代，成为成渝地区双城经济圈和长株潭城市群之间最便捷的铁路大通道，渝湘高铁重庆主城至黔江段、渝怀铁路复线和黔江站散堆货场正在加快建设；公路方面，黔江区公路通车总里程2015年以来逐年增加，共计里程7350公里，进一步增大黔江区现代物流发展优势。</w:t>
      </w:r>
    </w:p>
    <w:p>
      <w:pPr>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资源禀赋优良。</w:t>
      </w:r>
      <w:r>
        <w:rPr>
          <w:rStyle w:val="8"/>
          <w:rFonts w:ascii="Times New Roman" w:hAnsi="Times New Roman" w:eastAsia="方正仿宋_GBK"/>
          <w:b w:val="0"/>
          <w:i w:val="0"/>
          <w:caps w:val="0"/>
          <w:color w:val="000000"/>
          <w:spacing w:val="0"/>
          <w:w w:val="100"/>
          <w:kern w:val="2"/>
          <w:sz w:val="32"/>
          <w:szCs w:val="32"/>
          <w:lang w:val="en-US" w:eastAsia="zh-CN" w:bidi="ar-SA"/>
        </w:rPr>
        <w:t>生态资源丰富，拥有1个国家森林公园、1个国家湿地公园，2个市级自然保护区，1个市级森林公园，1个国家5A级旅游景区，7个国家4A级旅游景区。生态环境质量优异，森林覆盖率达65%，城区环境空气质量优良天数保持在350天左右，连年位居重庆市前列，阿蓬江水质稳定保持在II类以上。以烤烟、生猪、蚕桑等传统产业和猕猴桃、蔬菜等特色产业为主的农业产业体系持续壮大，荣获“中国猕猴桃之乡”“中国脆红李之乡”国字号招牌。获批“全国首批农村产业融合发展试点示范区”“全国电子商务进农村综合示范区”和“全国休闲农业与乡村旅游示范区”，创新推出“山韵黔江”公共品牌和“武陵田园·黔江人家”等乡村旅游品牌。优良的资源禀赋将推进服务业的集聚和发展，助力服务业成为黔江经济新的增长极。</w:t>
      </w:r>
    </w:p>
    <w:p>
      <w:pPr>
        <w:keepNext w:val="0"/>
        <w:keepLines w:val="0"/>
        <w:pageBreakBefore w:val="0"/>
        <w:widowControl w:val="0"/>
        <w:numPr>
          <w:ilvl w:val="0"/>
          <w:numId w:val="3"/>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产业基础扎实。</w:t>
      </w:r>
      <w:r>
        <w:rPr>
          <w:rStyle w:val="8"/>
          <w:rFonts w:ascii="Times New Roman" w:hAnsi="Times New Roman" w:eastAsia="方正仿宋_GBK"/>
          <w:b w:val="0"/>
          <w:i w:val="0"/>
          <w:caps w:val="0"/>
          <w:color w:val="000000"/>
          <w:spacing w:val="0"/>
          <w:w w:val="100"/>
          <w:kern w:val="2"/>
          <w:sz w:val="32"/>
          <w:szCs w:val="32"/>
          <w:lang w:val="en-US" w:eastAsia="zh-CN" w:bidi="ar-SA"/>
        </w:rPr>
        <w:t>以材料、纺织、生物医药、食品、节能环保、卷烟及配套等为主导的产业逐渐发展壮大，产业链条不断延伸，上下游关联行业壮大发展，产业集群效应初步显现。初步形成以铝合金材料、玻纤复合材料两大产业共同支撑，电池材料、硬质合金等其他材料产业配套发展的材料产业；以高档缫丝、纺织面料、服装及家用纺织品等为主的轻纺服装产业；以青蒿素、药用胶囊、医用耗材为主的生物医药产业；以电力、天然气、节能材料、粪便处理系统等节能环保产品为主的节能环保产业；以黔江卷烟厂、黔龙印务、黔龙卷烟材料等企业为核心的卷烟及配套产业；以特色食品、休闲食品、营养食品、保健食品和功能性饮料等为主的特色农产品加工产业。黔江区产业要实现高质量发展，亟需服务业特别是研发、设计、销售、检验检测等生产性服务业的支撑。加快服务业高质量发展，将为实现先进制造业与现代服务业双轮驱动奠定坚实基础。</w:t>
      </w:r>
    </w:p>
    <w:p>
      <w:pPr>
        <w:pageBreakBefore w:val="0"/>
        <w:widowControl/>
        <w:numPr>
          <w:ilvl w:val="0"/>
          <w:numId w:val="3"/>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政策促进优势。</w:t>
      </w:r>
      <w:r>
        <w:rPr>
          <w:rStyle w:val="8"/>
          <w:rFonts w:ascii="Times New Roman" w:hAnsi="Times New Roman" w:eastAsia="方正仿宋_GBK"/>
          <w:b w:val="0"/>
          <w:i w:val="0"/>
          <w:caps w:val="0"/>
          <w:color w:val="000000"/>
          <w:spacing w:val="0"/>
          <w:w w:val="100"/>
          <w:kern w:val="2"/>
          <w:sz w:val="32"/>
          <w:szCs w:val="32"/>
          <w:lang w:val="en-US" w:eastAsia="zh-CN" w:bidi="ar-SA"/>
        </w:rPr>
        <w:t>重庆是国家中心城市和西部唯一的直辖市，“一区两群”协调发展格局将会为服务业高质量发展蕴育广阔空间。作为渝东南和武陵山片区中心城市的黔江，面临新时代西部大开发、共建“一带一路”、长江经济带绿色发展、成渝地区双城经济圈建设等重大战略机遇，享受相关优惠政策。这些政策优势将对服务业企业产生强大吸引力，会持续作用于黔江的服务业发展。今后黔江将充分利用政策优势，推动服务业高质量发展，推进城市功能协作配套。</w:t>
      </w:r>
    </w:p>
    <w:p>
      <w:pPr>
        <w:pageBreakBefore w:val="0"/>
        <w:widowControl/>
        <w:numPr>
          <w:ilvl w:val="0"/>
          <w:numId w:val="3"/>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文化特色鲜明。</w:t>
      </w:r>
      <w:r>
        <w:rPr>
          <w:rStyle w:val="8"/>
          <w:rFonts w:ascii="Times New Roman" w:hAnsi="Times New Roman" w:eastAsia="方正仿宋_GBK"/>
          <w:b w:val="0"/>
          <w:i w:val="0"/>
          <w:caps w:val="0"/>
          <w:color w:val="000000"/>
          <w:spacing w:val="0"/>
          <w:w w:val="100"/>
          <w:kern w:val="2"/>
          <w:sz w:val="32"/>
          <w:szCs w:val="32"/>
          <w:lang w:val="en-US" w:eastAsia="zh-CN" w:bidi="ar-SA"/>
        </w:rPr>
        <w:t>黔江之名始于唐天宝元年（公元742年），境内辖至乌江沿岸，乌江古称黔江，因而得名。黔江是国家级文化生态保护实验区，巴楚文化交汇于此，土家苗汉共生共荣，获评全国民族团结进步示范区。民俗文化悠久灿烂、异彩纷呈，跳摆手舞、居吊脚楼、吼南溪号，风情独具。黔江是红军入渝的首站，是原红三军政委万涛的故乡，刘伯承、邓小平、贺龙等老一辈无产阶级革命家的战斗足迹熠熠生辉，鲜活纯正“红色基因”赓续相传，至诚至信“天理良心”名传于世，苦干实干“黔江精神”享誉全国。黔江独具特色的文化为打造武陵山区文化旅游融合发展先行区奠定坚实的基础。</w:t>
      </w:r>
    </w:p>
    <w:p>
      <w:pPr>
        <w:pStyle w:val="16"/>
        <w:pageBreakBefore w:val="0"/>
        <w:widowControl/>
        <w:numPr>
          <w:ilvl w:val="0"/>
          <w:numId w:val="1"/>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43" w:name="_Toc11674_WPSOffice_Level2"/>
      <w:r>
        <w:rPr>
          <w:rStyle w:val="8"/>
          <w:rFonts w:ascii="Times New Roman" w:hAnsi="Times New Roman" w:eastAsia="方正楷体_GBK"/>
          <w:b w:val="0"/>
          <w:i w:val="0"/>
          <w:caps w:val="0"/>
          <w:color w:val="000000"/>
          <w:spacing w:val="0"/>
          <w:w w:val="100"/>
          <w:kern w:val="2"/>
          <w:sz w:val="32"/>
          <w:szCs w:val="32"/>
          <w:lang w:val="en-US" w:eastAsia="zh-CN" w:bidi="ar-SA"/>
        </w:rPr>
        <w:t>面临的形势</w:t>
      </w:r>
      <w:bookmarkEnd w:id="43"/>
    </w:p>
    <w:p>
      <w:pPr>
        <w:pStyle w:val="16"/>
        <w:pageBreakBefore w:val="0"/>
        <w:widowControl/>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十四五”是我国服务业高质量发展的重要机遇窗口期，也是黔江区服务业大有可为的战略机遇期。以5G、云计算、大数据、人工智能、物联网、工业互联网等为代表的新一代信息技术改变着服务业的发展格局，推动服务平台化、数据化、金融化，服务业正加速发展，创新升级步伐也在加快，全球经济已经进入服务经济时代。经过改革开放四十余年的发展，我国的服务业取得了巨大的发展，已成为名副其实的第一大产业。2019年，国家发改委和市场监管总局联合印发了《关于新时代服务业高质量发展的指导意见》，围绕制约服务业高质量发展的薄弱环节和共性问题提出任务措施，努力构建优质高效、布局优化、竞争力强的服务产业新体系，促进服务业高质量发展，推动我国由“服务业大国”加快向“服务业强国”的转变。重庆正围绕国际化大都市、国家中心城市、内陆开放高地等定位，加快建设国际消费中心城市、内陆国际物流枢纽、国际旅游目的地，服务经济主导趋势明显。重庆将培育壮大新兴服务业，恢复发展传统服务业，构建优质高效、布局合理、融合共享的现代服务产业体系，形成各种业态“百花齐放”、各类企业“万马奔腾”的发展格局。黔江作为渝东南中心城市和武陵山片区中心城市之一，要以融合利他的中心担当协同建设渝东南武陵山区城镇群，推动服务业向高新化、特色化、数字化方向深度转型，成为重庆建设国家级服务经济中心的重要支撑。</w:t>
      </w:r>
    </w:p>
    <w:p>
      <w:pPr>
        <w:pStyle w:val="16"/>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同时，我们也要深刻地认识到面临的重大挑战：一是新冠肺炎疫情对全区服务业发展带来了前所未有的冲击。第三产业增加值同比下降，除金融业、营利性和非营利性服务业营业收入同比增长以外，其余行业受损严重，对培育壮大服务业发展新的增长点、推动经济尽快恢复提振提出新的要求。二是由技术革命带来的产业分工全球化对我区高端服务业发展形成挤压效应。随着互联网的深入应用，部分生产性服务业的服务半径得到无限扩展，发达地区的先发优势对我区高端服务业发展形成严重冲击和挤压。三是制造业增速放缓对服务业发展提出更高要求。随着经济进入新常态，制造业增长速度放缓，对服务业发展提出了更高要求，服务业转型升级的任务依然艰巨。四是区域竞争日趋激烈。各区县纷纷把加快发展服务业摆上重要位置，市场、资本、人才、技术等领域的竞争压力加大。</w:t>
      </w:r>
    </w:p>
    <w:p>
      <w:pPr>
        <w:pStyle w:val="10"/>
        <w:keepLines/>
        <w:pageBreakBefore w:val="0"/>
        <w:widowControl w:val="0"/>
        <w:numPr>
          <w:ilvl w:val="0"/>
          <w:numId w:val="4"/>
        </w:numPr>
        <w:kinsoku/>
        <w:wordWrap/>
        <w:overflowPunct/>
        <w:topLinePunct w:val="0"/>
        <w:autoSpaceDE/>
        <w:autoSpaceDN/>
        <w:bidi w:val="0"/>
        <w:adjustRightInd/>
        <w:snapToGrid/>
        <w:spacing w:before="0" w:beforeAutospacing="0" w:after="0" w:afterAutospacing="0" w:line="579" w:lineRule="exact"/>
        <w:ind w:right="0" w:rightChars="0" w:firstLine="632" w:firstLineChars="200"/>
        <w:jc w:val="both"/>
        <w:textAlignment w:val="baseline"/>
        <w:rPr>
          <w:rStyle w:val="8"/>
          <w:rFonts w:ascii="方正黑体_GBK" w:hAnsi="方正黑体_GBK" w:eastAsia="方正黑体_GBK" w:cs="方正黑体_GBK"/>
          <w:b w:val="0"/>
          <w:bCs/>
          <w:i w:val="0"/>
          <w:caps w:val="0"/>
          <w:spacing w:val="0"/>
          <w:w w:val="100"/>
          <w:kern w:val="44"/>
          <w:sz w:val="32"/>
          <w:szCs w:val="32"/>
          <w:lang w:val="en-US" w:eastAsia="zh-CN" w:bidi="ar-SA"/>
        </w:rPr>
      </w:pPr>
      <w:bookmarkStart w:id="44" w:name="_Toc9133_WPSOffice_Level1"/>
      <w:r>
        <w:rPr>
          <w:rStyle w:val="8"/>
          <w:rFonts w:ascii="方正黑体_GBK" w:hAnsi="方正黑体_GBK" w:eastAsia="方正黑体_GBK" w:cs="方正黑体_GBK"/>
          <w:b w:val="0"/>
          <w:bCs/>
          <w:i w:val="0"/>
          <w:caps w:val="0"/>
          <w:spacing w:val="0"/>
          <w:w w:val="100"/>
          <w:kern w:val="44"/>
          <w:sz w:val="32"/>
          <w:szCs w:val="32"/>
          <w:lang w:val="en-US" w:eastAsia="zh-CN" w:bidi="ar-SA"/>
        </w:rPr>
        <w:t>总体要求</w:t>
      </w:r>
      <w:bookmarkEnd w:id="44"/>
    </w:p>
    <w:p>
      <w:pPr>
        <w:pStyle w:val="16"/>
        <w:pageBreakBefore w:val="0"/>
        <w:widowControl w:val="0"/>
        <w:numPr>
          <w:ilvl w:val="0"/>
          <w:numId w:val="5"/>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45" w:name="_Toc30193_WPSOffice_Level2"/>
      <w:r>
        <w:rPr>
          <w:rStyle w:val="8"/>
          <w:rFonts w:ascii="Times New Roman" w:hAnsi="Times New Roman" w:eastAsia="方正楷体_GBK"/>
          <w:b w:val="0"/>
          <w:i w:val="0"/>
          <w:caps w:val="0"/>
          <w:color w:val="000000"/>
          <w:spacing w:val="0"/>
          <w:w w:val="100"/>
          <w:kern w:val="2"/>
          <w:sz w:val="32"/>
          <w:szCs w:val="32"/>
          <w:lang w:val="en-US" w:eastAsia="zh-CN" w:bidi="ar-SA"/>
        </w:rPr>
        <w:t>指导思想</w:t>
      </w:r>
      <w:bookmarkEnd w:id="45"/>
    </w:p>
    <w:p>
      <w:pPr>
        <w:pStyle w:val="16"/>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以习近平新时代中国特色社会主义思想为指导，深入贯彻党的十九大精神，紧扣习近平总书记对重庆提出的“两点”定位、“两地”“两高”目标、发挥“三个作用”和营造良好政治生态的重要指示要求，坚持新发展理念，坚持以人民为中心的发展思想，加快融入以国内大循环为主体、国内国际双循环相互促进的新发展格局，积极融入成渝地区双城经济圈建设和“一区两群”协调发展战略，突出“新技术、新业态、新生活、新经济”发展方向，聚焦民生服务、城市治理、政府管理、产业融合、生态宜居等领域，推动场景数字化、平台化、企业化，全面提升服务业高端化能力建设，形成辐射带动竞争优势，巩固提升优势服务业、创新发展新兴服务业，提升服务业标准化、品牌化、智能化和防风险能力，提高服务效率和品质，构建优质高效、布局合理、融合共享的“5+4+3”服务业产业体系，为全面建成小康社会，实现高质量发展提供有力支撑和持续动力。</w:t>
      </w:r>
    </w:p>
    <w:p>
      <w:pPr>
        <w:pStyle w:val="16"/>
        <w:pageBreakBefore w:val="0"/>
        <w:widowControl/>
        <w:numPr>
          <w:ilvl w:val="0"/>
          <w:numId w:val="5"/>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46" w:name="_Toc11844_WPSOffice_Level2"/>
      <w:r>
        <w:rPr>
          <w:rStyle w:val="8"/>
          <w:rFonts w:ascii="Times New Roman" w:hAnsi="Times New Roman" w:eastAsia="方正楷体_GBK"/>
          <w:b w:val="0"/>
          <w:i w:val="0"/>
          <w:caps w:val="0"/>
          <w:color w:val="000000"/>
          <w:spacing w:val="0"/>
          <w:w w:val="100"/>
          <w:kern w:val="2"/>
          <w:sz w:val="32"/>
          <w:szCs w:val="32"/>
          <w:lang w:val="en-US" w:eastAsia="zh-CN" w:bidi="ar-SA"/>
        </w:rPr>
        <w:t>发展原则</w:t>
      </w:r>
      <w:bookmarkEnd w:id="46"/>
    </w:p>
    <w:p>
      <w:pPr>
        <w:pageBreakBefore w:val="0"/>
        <w:widowControl/>
        <w:numPr>
          <w:ilvl w:val="0"/>
          <w:numId w:val="6"/>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市场导向，品牌引领。</w:t>
      </w:r>
      <w:r>
        <w:rPr>
          <w:rStyle w:val="8"/>
          <w:rFonts w:ascii="Times New Roman" w:hAnsi="Times New Roman" w:eastAsia="方正仿宋_GBK"/>
          <w:b w:val="0"/>
          <w:i w:val="0"/>
          <w:caps w:val="0"/>
          <w:color w:val="000000"/>
          <w:spacing w:val="0"/>
          <w:w w:val="100"/>
          <w:kern w:val="2"/>
          <w:sz w:val="32"/>
          <w:szCs w:val="32"/>
          <w:lang w:val="en-US" w:eastAsia="zh-CN" w:bidi="ar-SA"/>
        </w:rPr>
        <w:t>顺应产业转型升级新趋势，充分发挥市场配置资源的决定性作用，更好发挥政府作用，在公平竞争中提升服务业竞争力。坚持质量至上、标准规范，树立服务品牌意识，发挥品牌对服务业高质量发展的引领带动作用。</w:t>
      </w:r>
    </w:p>
    <w:p>
      <w:pPr>
        <w:pageBreakBefore w:val="0"/>
        <w:widowControl/>
        <w:numPr>
          <w:ilvl w:val="0"/>
          <w:numId w:val="6"/>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创新驱动，跨界融合。</w:t>
      </w:r>
      <w:r>
        <w:rPr>
          <w:rStyle w:val="8"/>
          <w:rFonts w:ascii="Times New Roman" w:hAnsi="Times New Roman" w:eastAsia="方正仿宋_GBK"/>
          <w:b w:val="0"/>
          <w:i w:val="0"/>
          <w:caps w:val="0"/>
          <w:color w:val="000000"/>
          <w:spacing w:val="0"/>
          <w:w w:val="100"/>
          <w:kern w:val="2"/>
          <w:sz w:val="32"/>
          <w:szCs w:val="32"/>
          <w:lang w:val="en-US" w:eastAsia="zh-CN" w:bidi="ar-SA"/>
        </w:rPr>
        <w:t>以改革创新释放产业发展活力，不断推进技术创新、产品创新、管理创新、业态创新和商业模式创新，促进新技术、新产业、新业态、新模式蓬勃发展，提升服务业集聚辐射能力和综合竞争力。发挥服务业与新一代信息技术渗透融合的优势，促进服务业与制造业、服务业内部的有机融合，拓展服务业发展新领域。</w:t>
      </w:r>
    </w:p>
    <w:p>
      <w:pPr>
        <w:pageBreakBefore w:val="0"/>
        <w:widowControl/>
        <w:numPr>
          <w:ilvl w:val="0"/>
          <w:numId w:val="6"/>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厚植优势，高端发展。</w:t>
      </w:r>
      <w:r>
        <w:rPr>
          <w:rStyle w:val="8"/>
          <w:rFonts w:ascii="Times New Roman" w:hAnsi="Times New Roman" w:eastAsia="方正仿宋_GBK"/>
          <w:b w:val="0"/>
          <w:i w:val="0"/>
          <w:caps w:val="0"/>
          <w:color w:val="000000"/>
          <w:spacing w:val="0"/>
          <w:w w:val="100"/>
          <w:kern w:val="2"/>
          <w:sz w:val="32"/>
          <w:szCs w:val="32"/>
          <w:lang w:val="en-US" w:eastAsia="zh-CN" w:bidi="ar-SA"/>
        </w:rPr>
        <w:t>巩固服务业优势领域，培育特色服务产业，着力提升服务业发展能级，推动服务产业链和价值链向高端攀升。重点发展研发、信息、金融、大健康、现代物流等高端服务业，提高黔江服务业水平和竞争力。</w:t>
      </w:r>
    </w:p>
    <w:p>
      <w:pPr>
        <w:pageBreakBefore w:val="0"/>
        <w:widowControl/>
        <w:numPr>
          <w:ilvl w:val="0"/>
          <w:numId w:val="6"/>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集约集聚，外溢辐射。</w:t>
      </w:r>
      <w:r>
        <w:rPr>
          <w:rStyle w:val="8"/>
          <w:rFonts w:ascii="Times New Roman" w:hAnsi="Times New Roman" w:eastAsia="方正仿宋_GBK"/>
          <w:b w:val="0"/>
          <w:i w:val="0"/>
          <w:caps w:val="0"/>
          <w:color w:val="000000"/>
          <w:spacing w:val="0"/>
          <w:w w:val="100"/>
          <w:kern w:val="2"/>
          <w:sz w:val="32"/>
          <w:szCs w:val="32"/>
          <w:lang w:val="en-US" w:eastAsia="zh-CN" w:bidi="ar-SA"/>
        </w:rPr>
        <w:t>注重产业链配套协作与专业分工，创新集聚发展模式，促进产业互促、资源共享，增强集群效应。强化服务输出能力，提升辐射带动作用，积极参与区域分工协作，打造基础设施互联互通、要素自由流动、资源充分共享、市场深度融合、互利互补共赢的服务业发展新格局。</w:t>
      </w:r>
    </w:p>
    <w:p>
      <w:pPr>
        <w:pageBreakBefore w:val="0"/>
        <w:widowControl/>
        <w:numPr>
          <w:ilvl w:val="0"/>
          <w:numId w:val="6"/>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产城融合，以人为本。</w:t>
      </w:r>
      <w:r>
        <w:rPr>
          <w:rStyle w:val="8"/>
          <w:rFonts w:ascii="Times New Roman" w:hAnsi="Times New Roman" w:eastAsia="方正仿宋_GBK"/>
          <w:b w:val="0"/>
          <w:i w:val="0"/>
          <w:caps w:val="0"/>
          <w:color w:val="000000"/>
          <w:spacing w:val="0"/>
          <w:w w:val="100"/>
          <w:kern w:val="2"/>
          <w:sz w:val="32"/>
          <w:szCs w:val="32"/>
          <w:lang w:val="en-US" w:eastAsia="zh-CN" w:bidi="ar-SA"/>
        </w:rPr>
        <w:t>强化服务业对城市功能支撑，促进形成产业、城市与人三者之间的良性互动。注重人民群众日益增长的多元化、多层次的服务需求，扩大供给总量，优化供给结构，促进新消费需求及时转化为新供给，以服务业发展提升城市宜居宜业水平。</w:t>
      </w:r>
    </w:p>
    <w:p>
      <w:pPr>
        <w:pStyle w:val="16"/>
        <w:pageBreakBefore w:val="0"/>
        <w:widowControl/>
        <w:numPr>
          <w:ilvl w:val="0"/>
          <w:numId w:val="5"/>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bookmarkStart w:id="47" w:name="_Toc17970_WPSOffice_Level2"/>
      <w:r>
        <w:rPr>
          <w:rStyle w:val="8"/>
          <w:rFonts w:ascii="Times New Roman" w:hAnsi="Times New Roman" w:eastAsia="方正楷体_GBK"/>
          <w:b w:val="0"/>
          <w:i w:val="0"/>
          <w:caps w:val="0"/>
          <w:color w:val="000000"/>
          <w:spacing w:val="0"/>
          <w:w w:val="100"/>
          <w:kern w:val="2"/>
          <w:sz w:val="32"/>
          <w:szCs w:val="32"/>
          <w:lang w:val="en-US" w:eastAsia="zh-CN" w:bidi="ar-SA"/>
        </w:rPr>
        <w:t>发展定位</w:t>
      </w:r>
      <w:bookmarkEnd w:id="47"/>
    </w:p>
    <w:p>
      <w:pPr>
        <w:pStyle w:val="16"/>
        <w:pageBreakBefore w:val="0"/>
        <w:widowControl/>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结合黔江区战略定位、功能定位，在综合分析经济基础、产业结构、资源禀赋和区位特征等基础上，黔江区服务业的发展定位为文旅融合发展先行区、区域性高品质消费中心、区域性特色金融中心、长江上游绿色物流新高地。</w:t>
      </w:r>
    </w:p>
    <w:p>
      <w:pPr>
        <w:pStyle w:val="16"/>
        <w:pageBreakBefore w:val="0"/>
        <w:widowControl/>
        <w:numPr>
          <w:ilvl w:val="0"/>
          <w:numId w:val="7"/>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文旅融合发展先行区。</w:t>
      </w:r>
      <w:r>
        <w:rPr>
          <w:rStyle w:val="8"/>
          <w:rFonts w:ascii="Times New Roman" w:hAnsi="Times New Roman" w:eastAsia="方正仿宋_GBK"/>
          <w:b w:val="0"/>
          <w:i w:val="0"/>
          <w:caps w:val="0"/>
          <w:color w:val="000000"/>
          <w:spacing w:val="0"/>
          <w:w w:val="100"/>
          <w:kern w:val="2"/>
          <w:sz w:val="32"/>
          <w:szCs w:val="32"/>
          <w:lang w:val="en-US" w:eastAsia="zh-CN" w:bidi="ar-SA"/>
        </w:rPr>
        <w:t>发挥黔江特色鲜明的民俗文化软实力和雄厚坚实的旅游产业硬基础，推进全域旅游融合发展，加快形成产城景文融合发展格局，实现景点联通、景区联动、人文互融，会同周边区县打造乌江画廊旅游示范带、武陵山区民俗风情生态旅游示范区，构建武陵山区旅游集散中心，以旅游度假区和A级景区等核心产品建设为重点，加快将黔江建设成为具有浓郁巴国特色的旅游度假胜地和长江上游知名人文风景旅游目的地，在建设文旅融合发展先行区中发挥先行示范作用，成功创建国家级全域旅游示范区。</w:t>
      </w:r>
    </w:p>
    <w:p>
      <w:pPr>
        <w:pStyle w:val="16"/>
        <w:pageBreakBefore w:val="0"/>
        <w:widowControl/>
        <w:numPr>
          <w:ilvl w:val="0"/>
          <w:numId w:val="7"/>
        </w:numPr>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区域性高品质消费中心。</w:t>
      </w:r>
      <w:r>
        <w:rPr>
          <w:rStyle w:val="8"/>
          <w:rFonts w:ascii="Times New Roman" w:hAnsi="Times New Roman" w:eastAsia="方正仿宋_GBK"/>
          <w:b w:val="0"/>
          <w:i w:val="0"/>
          <w:caps w:val="0"/>
          <w:color w:val="000000"/>
          <w:spacing w:val="0"/>
          <w:w w:val="100"/>
          <w:kern w:val="2"/>
          <w:sz w:val="32"/>
          <w:szCs w:val="32"/>
          <w:lang w:val="en-US" w:eastAsia="zh-CN" w:bidi="ar-SA"/>
        </w:rPr>
        <w:t>实现商业发展高端化、服务供给品质化和消费方式多元化，支持购物中心、商场等向场景化、体验式、综合型消费场所转型，建立消费品工业产学研协同创新联盟，增强定制消费、智能消费、时尚消费等商品供给能力，创造智能、舒适、便捷的消费环境，引领培育服务业新业态新模式，创造引领生活时尚的黔江品牌，发挥黔江服务业在渝东南武陵山区城镇群的“虹吸效应”，增强人口集聚和要素吸引力。</w:t>
      </w:r>
    </w:p>
    <w:p>
      <w:pPr>
        <w:pStyle w:val="16"/>
        <w:pageBreakBefore w:val="0"/>
        <w:widowControl/>
        <w:numPr>
          <w:ilvl w:val="0"/>
          <w:numId w:val="7"/>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区域性特色金融中心。</w:t>
      </w:r>
      <w:r>
        <w:rPr>
          <w:rStyle w:val="8"/>
          <w:rFonts w:ascii="Times New Roman" w:hAnsi="Times New Roman" w:eastAsia="方正仿宋_GBK"/>
          <w:b w:val="0"/>
          <w:i w:val="0"/>
          <w:caps w:val="0"/>
          <w:color w:val="000000"/>
          <w:spacing w:val="0"/>
          <w:w w:val="100"/>
          <w:kern w:val="2"/>
          <w:sz w:val="32"/>
          <w:szCs w:val="32"/>
          <w:lang w:val="en-US" w:eastAsia="zh-CN" w:bidi="ar-SA"/>
        </w:rPr>
        <w:t>广泛招引银行、证券、保险金融后台服务以及各类新金融业态，构建金融服务、金融信息、金融培训三大平台，推进金融产品多元化发展、金融科技深度融合、金融机构高质量集聚，扩大金融领域开放，加强金融风险防控，争取落户一批片区法人银行、保险机构、理财子公司、消费金融公司等金融机构，</w:t>
      </w:r>
      <w:r>
        <w:rPr>
          <w:rStyle w:val="8"/>
          <w:rFonts w:ascii="Times New Roman" w:hAnsi="Times New Roman" w:eastAsia="方正仿宋_GBK"/>
          <w:b w:val="0"/>
          <w:i w:val="0"/>
          <w:caps w:val="0"/>
          <w:spacing w:val="0"/>
          <w:w w:val="100"/>
          <w:kern w:val="2"/>
          <w:sz w:val="32"/>
          <w:szCs w:val="32"/>
          <w:lang w:val="en-US" w:eastAsia="zh-CN" w:bidi="ar-SA"/>
        </w:rPr>
        <w:t>探</w:t>
      </w:r>
      <w:r>
        <w:rPr>
          <w:rStyle w:val="8"/>
          <w:rFonts w:ascii="Times New Roman" w:hAnsi="Times New Roman" w:eastAsia="方正仿宋_GBK"/>
          <w:b w:val="0"/>
          <w:i w:val="0"/>
          <w:caps w:val="0"/>
          <w:color w:val="000000"/>
          <w:spacing w:val="0"/>
          <w:w w:val="100"/>
          <w:kern w:val="2"/>
          <w:sz w:val="32"/>
          <w:szCs w:val="32"/>
          <w:lang w:val="en-US" w:eastAsia="zh-CN" w:bidi="ar-SA"/>
        </w:rPr>
        <w:t>索推进跨境电子商务结算等业务，打造新型金融机构集聚区和金融产品创新中心，构建渝东南金融体系最健全、业态最多样、创新最活跃、功能最完备、品质最高端的特色金融服务中心。</w:t>
      </w:r>
    </w:p>
    <w:p>
      <w:pPr>
        <w:pStyle w:val="16"/>
        <w:pageBreakBefore w:val="0"/>
        <w:widowControl/>
        <w:numPr>
          <w:ilvl w:val="0"/>
          <w:numId w:val="7"/>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长江上游绿色物流新高地。</w:t>
      </w:r>
      <w:r>
        <w:rPr>
          <w:rStyle w:val="8"/>
          <w:rFonts w:ascii="Times New Roman" w:hAnsi="Times New Roman" w:eastAsia="方正仿宋_GBK"/>
          <w:b w:val="0"/>
          <w:i w:val="0"/>
          <w:caps w:val="0"/>
          <w:color w:val="000000"/>
          <w:spacing w:val="0"/>
          <w:w w:val="100"/>
          <w:kern w:val="2"/>
          <w:sz w:val="32"/>
          <w:szCs w:val="32"/>
          <w:lang w:val="en-US" w:eastAsia="zh-CN" w:bidi="ar-SA"/>
        </w:rPr>
        <w:t>推进以铁路、公路、航空为骨架的综合交通运输体系发展，着力打造渝东南武陵山区城镇群和成渝地区双城经济圈的重要交汇点和桥头堡，构建“内畅外联”的综合交通运输体系，形成“铁、空、公、水”立体交通网络，增强聚集辐射能力，建设多式联运物流运输体系，大力推动传统物流向现代物流转型升级，发展第三方物流、物流服务产业，加快物流信息化建设，重塑物流行业生态格局，赋能现代物流产业，提高物流网络化、专业化、智能化、集约化水平，着力打造长江上游绿色物流新高地，建设长江经济带物流节点城市和重庆区域性物流中心。</w:t>
      </w:r>
    </w:p>
    <w:p>
      <w:pPr>
        <w:pStyle w:val="16"/>
        <w:pageBreakBefore w:val="0"/>
        <w:widowControl/>
        <w:numPr>
          <w:ilvl w:val="0"/>
          <w:numId w:val="5"/>
        </w:numPr>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48" w:name="_Toc7398_WPSOffice_Level2"/>
      <w:r>
        <w:rPr>
          <w:rStyle w:val="8"/>
          <w:rFonts w:ascii="Times New Roman" w:hAnsi="Times New Roman" w:eastAsia="方正楷体_GBK"/>
          <w:b w:val="0"/>
          <w:i w:val="0"/>
          <w:caps w:val="0"/>
          <w:color w:val="000000"/>
          <w:spacing w:val="0"/>
          <w:w w:val="100"/>
          <w:kern w:val="2"/>
          <w:sz w:val="32"/>
          <w:szCs w:val="32"/>
          <w:lang w:val="en-US" w:eastAsia="zh-CN" w:bidi="ar-SA"/>
        </w:rPr>
        <w:t>发展目标</w:t>
      </w:r>
      <w:bookmarkEnd w:id="48"/>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立足黔江实际，以渝东南中心城市为定位，顺应经济转型发展趋势，以更好地促进经济转型升级和改善民生为导向，促进服务业高质量发展，着力构筑特色鲜明、结构合理的“5+4+3”服务业产业体系。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——总量持续扩大。服务业增速快于GDP增速，“十四五”期间，服务业增加值占GDP比重稳定在55%左右，到2025年，服务业增加值力争达到180亿元。</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——贡献作用更加突出。服务业在促进增加财政收入、带动社会就业、改善人民生活等方面发挥的作用日益凸显。服务业规模以上企业从业人员占全区规模以上企业从业人员比重50%左右。</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结构明显优化。到2025年，全区基本形成“5+4+3”的服务业产业体系，传统服务业水平明显提高，现代服务业规模和水平进一步提升，现代服务业地位不断加强，形成商贸物流、文化旅游、大健康服务等现代服务业为主体的新型服务业结构，现代服务业增加值占服务业增加值的比重达56%，生产性服务业增加值占服务业增加值比重的45%。</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布局更趋合理。依托老城改造、新城完善、园区服务，积极引进城市商贸综合体、现代物流、电子商务、现代金融、总部经济、大健康服务、文化旅游等现代服务业重大项目，培育形成一批具有较强产业引领和辐射带动作用的现代服务业集聚区。</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——竞争力加快提升。2025年，全区服务业劳动生产率达18万元/人；培育一批具有较强带动力的规模企业，争创一批具有较高知名度的服务品牌。</w:t>
      </w:r>
    </w:p>
    <w:p>
      <w:pPr>
        <w:snapToGrid/>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i w:val="0"/>
          <w:caps w:val="0"/>
          <w:color w:val="000000"/>
          <w:spacing w:val="0"/>
          <w:w w:val="100"/>
          <w:kern w:val="2"/>
          <w:sz w:val="30"/>
          <w:szCs w:val="30"/>
          <w:lang w:val="en-US" w:eastAsia="zh-CN" w:bidi="ar-SA"/>
        </w:rPr>
      </w:pPr>
      <w:bookmarkStart w:id="49" w:name="_Toc22980_WPSOffice_Level2"/>
      <w:r>
        <w:rPr>
          <w:rStyle w:val="8"/>
          <w:rFonts w:ascii="Times New Roman" w:hAnsi="Times New Roman" w:eastAsia="方正黑体_GBK"/>
          <w:b w:val="0"/>
          <w:i w:val="0"/>
          <w:caps w:val="0"/>
          <w:color w:val="000000"/>
          <w:spacing w:val="0"/>
          <w:w w:val="100"/>
          <w:kern w:val="2"/>
          <w:sz w:val="30"/>
          <w:szCs w:val="30"/>
          <w:lang w:val="en-US" w:eastAsia="zh-CN" w:bidi="ar-SA"/>
        </w:rPr>
        <w:t>表1 黔江区“十四五”服务业高质量发展目标</w:t>
      </w:r>
      <w:bookmarkEnd w:id="49"/>
    </w:p>
    <w:tbl>
      <w:tblPr>
        <w:tblStyle w:val="5"/>
        <w:tblW w:w="93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3"/>
        <w:gridCol w:w="810"/>
        <w:gridCol w:w="5467"/>
        <w:gridCol w:w="1221"/>
        <w:gridCol w:w="10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blHeader/>
          <w:jc w:val="center"/>
        </w:trPr>
        <w:tc>
          <w:tcPr>
            <w:tcW w:w="793"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8"/>
                <w:szCs w:val="28"/>
                <w:lang w:val="en-US" w:eastAsia="zh-CN" w:bidi="ar-SA"/>
              </w:rPr>
            </w:pPr>
            <w:r>
              <w:rPr>
                <w:rStyle w:val="8"/>
                <w:rFonts w:ascii="Times New Roman" w:hAnsi="Times New Roman" w:eastAsia="方正黑体_GBK"/>
                <w:b w:val="0"/>
                <w:bCs w:val="0"/>
                <w:i w:val="0"/>
                <w:caps w:val="0"/>
                <w:color w:val="000000"/>
                <w:spacing w:val="0"/>
                <w:w w:val="100"/>
                <w:kern w:val="2"/>
                <w:sz w:val="28"/>
                <w:szCs w:val="28"/>
                <w:lang w:val="en-US" w:eastAsia="zh-CN" w:bidi="ar-SA"/>
              </w:rPr>
              <w:t>类型</w:t>
            </w: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8"/>
                <w:szCs w:val="28"/>
                <w:lang w:val="en-US" w:eastAsia="zh-CN" w:bidi="ar-SA"/>
              </w:rPr>
            </w:pPr>
            <w:r>
              <w:rPr>
                <w:rStyle w:val="8"/>
                <w:rFonts w:ascii="Times New Roman" w:hAnsi="Times New Roman" w:eastAsia="方正黑体_GBK"/>
                <w:b w:val="0"/>
                <w:bCs w:val="0"/>
                <w:i w:val="0"/>
                <w:caps w:val="0"/>
                <w:color w:val="000000"/>
                <w:spacing w:val="0"/>
                <w:w w:val="100"/>
                <w:kern w:val="2"/>
                <w:sz w:val="28"/>
                <w:szCs w:val="28"/>
                <w:lang w:val="en-US" w:eastAsia="zh-CN" w:bidi="ar-SA"/>
              </w:rPr>
              <w:t>序号</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8"/>
                <w:szCs w:val="28"/>
                <w:lang w:val="en-US" w:eastAsia="zh-CN" w:bidi="ar-SA"/>
              </w:rPr>
            </w:pPr>
            <w:r>
              <w:rPr>
                <w:rStyle w:val="8"/>
                <w:rFonts w:ascii="Times New Roman" w:hAnsi="Times New Roman" w:eastAsia="方正黑体_GBK"/>
                <w:b w:val="0"/>
                <w:bCs w:val="0"/>
                <w:i w:val="0"/>
                <w:caps w:val="0"/>
                <w:color w:val="000000"/>
                <w:spacing w:val="0"/>
                <w:w w:val="100"/>
                <w:kern w:val="2"/>
                <w:sz w:val="28"/>
                <w:szCs w:val="28"/>
                <w:lang w:val="en-US" w:eastAsia="zh-CN" w:bidi="ar-SA"/>
              </w:rPr>
              <w:t>指标名称</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8"/>
                <w:szCs w:val="28"/>
                <w:lang w:val="en-US" w:eastAsia="zh-CN" w:bidi="ar-SA"/>
              </w:rPr>
            </w:pPr>
            <w:r>
              <w:rPr>
                <w:rStyle w:val="8"/>
                <w:rFonts w:ascii="Times New Roman" w:hAnsi="Times New Roman" w:eastAsia="方正黑体_GBK"/>
                <w:b w:val="0"/>
                <w:bCs w:val="0"/>
                <w:i w:val="0"/>
                <w:caps w:val="0"/>
                <w:color w:val="000000"/>
                <w:spacing w:val="0"/>
                <w:w w:val="100"/>
                <w:kern w:val="2"/>
                <w:sz w:val="28"/>
                <w:szCs w:val="28"/>
                <w:lang w:val="en-US" w:eastAsia="zh-CN" w:bidi="ar-SA"/>
              </w:rPr>
              <w:t>单位</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8"/>
                <w:szCs w:val="28"/>
                <w:lang w:val="en-US" w:eastAsia="zh-CN" w:bidi="ar-SA"/>
              </w:rPr>
            </w:pPr>
            <w:r>
              <w:rPr>
                <w:rStyle w:val="8"/>
                <w:rFonts w:ascii="Times New Roman" w:hAnsi="Times New Roman" w:eastAsia="方正黑体_GBK"/>
                <w:b w:val="0"/>
                <w:bCs w:val="0"/>
                <w:i w:val="0"/>
                <w:caps w:val="0"/>
                <w:color w:val="000000"/>
                <w:spacing w:val="0"/>
                <w:w w:val="100"/>
                <w:kern w:val="2"/>
                <w:sz w:val="28"/>
                <w:szCs w:val="28"/>
                <w:lang w:val="en-US" w:eastAsia="zh-CN" w:bidi="ar-SA"/>
              </w:rPr>
              <w:t>2025年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r>
              <w:rPr>
                <w:rStyle w:val="8"/>
                <w:rFonts w:ascii="Times New Roman" w:hAnsi="Times New Roman" w:eastAsia="方正黑体_GBK"/>
                <w:b w:val="0"/>
                <w:bCs w:val="0"/>
                <w:i w:val="0"/>
                <w:caps w:val="0"/>
                <w:color w:val="000000"/>
                <w:spacing w:val="0"/>
                <w:w w:val="100"/>
                <w:kern w:val="2"/>
                <w:sz w:val="20"/>
                <w:szCs w:val="20"/>
                <w:lang w:val="en-US" w:eastAsia="zh-CN" w:bidi="ar-SA"/>
              </w:rPr>
              <w:t>总量发展目标</w:t>
            </w: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服务业增加值</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2</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服务业增加值占GDP的比重</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3</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服务业劳动生产率</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万元/人</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4</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现代服务业增加值占服务业增加值的比重</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5</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生产服务业增加值占服务业增加值的比重</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6</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服务业规模以上企业从业人员占全区规模以上企业从业人员比重</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7</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服务业投资占全社会固定资产投资比重</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8</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市级服务业品牌</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个</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restart"/>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r>
              <w:rPr>
                <w:rStyle w:val="8"/>
                <w:rFonts w:ascii="Times New Roman" w:hAnsi="Times New Roman" w:eastAsia="方正黑体_GBK"/>
                <w:b w:val="0"/>
                <w:bCs w:val="0"/>
                <w:i w:val="0"/>
                <w:caps w:val="0"/>
                <w:color w:val="000000"/>
                <w:spacing w:val="0"/>
                <w:w w:val="100"/>
                <w:kern w:val="2"/>
                <w:sz w:val="20"/>
                <w:szCs w:val="20"/>
                <w:lang w:val="en-US" w:eastAsia="zh-CN" w:bidi="ar-SA"/>
              </w:rPr>
              <w:t>重点行业发展目标</w:t>
            </w: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9</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金融业增加值</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10</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交通运输、仓储和邮政业增加值</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11</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社会消费品零售总额</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12</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电子商务交易额年均增长</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13</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现代商贸业营业收入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14</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软件与信息技术服务业营业收入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15</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会展服务业营业收入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16</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科技研究与技术服务业营业收入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黑体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17</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商务服务业营业收入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18</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旅游综合总收入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260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793" w:type="dxa"/>
            <w:vMerge w:val="continue"/>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p>
        </w:tc>
        <w:tc>
          <w:tcPr>
            <w:tcW w:w="810"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19</w:t>
            </w:r>
          </w:p>
        </w:tc>
        <w:tc>
          <w:tcPr>
            <w:tcW w:w="5467"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jc w:val="both"/>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大健康服务业营业收入</w:t>
            </w:r>
          </w:p>
        </w:tc>
        <w:tc>
          <w:tcPr>
            <w:tcW w:w="1221"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亿元</w:t>
            </w:r>
          </w:p>
        </w:tc>
        <w:tc>
          <w:tcPr>
            <w:tcW w:w="1099" w:type="dxa"/>
            <w:tcBorders>
              <w:top w:val="single" w:color="000000" w:sz="4" w:space="0"/>
              <w:left w:val="single" w:color="000000" w:sz="4" w:space="0"/>
              <w:bottom w:val="single" w:color="000000" w:sz="4" w:space="0"/>
              <w:right w:val="single" w:color="000000" w:sz="4" w:space="0"/>
            </w:tcBorders>
            <w:vAlign w:val="center"/>
          </w:tcPr>
          <w:p>
            <w:pPr>
              <w:snapToGrid w:val="0"/>
              <w:spacing w:before="0" w:beforeAutospacing="0" w:after="0" w:afterAutospacing="0" w:line="240" w:lineRule="auto"/>
              <w:ind w:left="0" w:leftChars="0" w:right="0" w:firstLineChars="0"/>
              <w:jc w:val="center"/>
              <w:textAlignment w:val="baseline"/>
              <w:rPr>
                <w:rStyle w:val="8"/>
                <w:rFonts w:ascii="Times New Roman" w:hAnsi="Times New Roman" w:eastAsia="方正仿宋_GBK"/>
                <w:b w:val="0"/>
                <w:bCs w:val="0"/>
                <w:i w:val="0"/>
                <w:caps w:val="0"/>
                <w:color w:val="000000"/>
                <w:spacing w:val="0"/>
                <w:w w:val="100"/>
                <w:kern w:val="2"/>
                <w:sz w:val="20"/>
                <w:szCs w:val="20"/>
                <w:lang w:val="en-US" w:eastAsia="zh-CN" w:bidi="ar-SA"/>
              </w:rPr>
            </w:pPr>
            <w:r>
              <w:rPr>
                <w:rStyle w:val="8"/>
                <w:rFonts w:ascii="Times New Roman" w:hAnsi="Times New Roman" w:eastAsia="方正仿宋_GBK"/>
                <w:b w:val="0"/>
                <w:bCs w:val="0"/>
                <w:i w:val="0"/>
                <w:caps w:val="0"/>
                <w:color w:val="000000"/>
                <w:spacing w:val="0"/>
                <w:w w:val="100"/>
                <w:kern w:val="2"/>
                <w:sz w:val="20"/>
                <w:szCs w:val="20"/>
                <w:lang w:val="en-US" w:eastAsia="zh-CN" w:bidi="ar-SA"/>
              </w:rPr>
              <w:t>10</w:t>
            </w:r>
          </w:p>
        </w:tc>
      </w:tr>
    </w:tbl>
    <w:p>
      <w:pPr>
        <w:pStyle w:val="10"/>
        <w:keepLines/>
        <w:numPr>
          <w:ilvl w:val="0"/>
          <w:numId w:val="4"/>
        </w:numPr>
        <w:snapToGrid/>
        <w:spacing w:before="0" w:beforeAutospacing="0" w:after="0" w:afterAutospacing="0" w:line="579" w:lineRule="exact"/>
        <w:ind w:firstLine="632" w:firstLineChars="200"/>
        <w:jc w:val="both"/>
        <w:textAlignment w:val="baseline"/>
        <w:rPr>
          <w:rStyle w:val="8"/>
          <w:rFonts w:ascii="方正黑体_GBK" w:hAnsi="方正黑体_GBK" w:eastAsia="方正黑体_GBK" w:cs="方正黑体_GBK"/>
          <w:b w:val="0"/>
          <w:bCs/>
          <w:i w:val="0"/>
          <w:caps w:val="0"/>
          <w:spacing w:val="0"/>
          <w:w w:val="100"/>
          <w:kern w:val="44"/>
          <w:sz w:val="32"/>
          <w:szCs w:val="32"/>
          <w:lang w:val="en-US" w:eastAsia="zh-CN" w:bidi="ar-SA"/>
        </w:rPr>
      </w:pPr>
      <w:bookmarkStart w:id="50" w:name="_Toc11674_WPSOffice_Level1"/>
      <w:r>
        <w:rPr>
          <w:rStyle w:val="8"/>
          <w:rFonts w:ascii="方正黑体_GBK" w:hAnsi="方正黑体_GBK" w:eastAsia="方正黑体_GBK" w:cs="方正黑体_GBK"/>
          <w:b w:val="0"/>
          <w:bCs/>
          <w:i w:val="0"/>
          <w:caps w:val="0"/>
          <w:spacing w:val="0"/>
          <w:w w:val="100"/>
          <w:kern w:val="44"/>
          <w:sz w:val="32"/>
          <w:szCs w:val="32"/>
          <w:lang w:val="en-US" w:eastAsia="zh-CN" w:bidi="ar-SA"/>
        </w:rPr>
        <w:t>构建“5+4+3”服务业产业发展体系</w:t>
      </w:r>
      <w:bookmarkEnd w:id="50"/>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32" w:firstLineChars="200"/>
        <w:jc w:val="both"/>
        <w:textAlignment w:val="baseline"/>
        <w:outlineLvl w:val="9"/>
        <w:rPr>
          <w:rStyle w:val="8"/>
          <w:rFonts w:ascii="Times New Roman" w:hAnsi="Times New Roman" w:eastAsia="方正楷体_GBK"/>
          <w:b w:val="0"/>
          <w:i w:val="0"/>
          <w:caps w:val="0"/>
          <w:color w:val="000000"/>
          <w:spacing w:val="0"/>
          <w:w w:val="100"/>
          <w:kern w:val="2"/>
          <w:sz w:val="32"/>
          <w:szCs w:val="32"/>
          <w:lang w:val="en-US" w:eastAsia="zh-CN" w:bidi="ar-SA"/>
        </w:rPr>
      </w:pPr>
      <w:bookmarkStart w:id="51" w:name="_Toc19177_WPSOffice_Level2"/>
      <w:r>
        <w:rPr>
          <w:rStyle w:val="8"/>
          <w:rFonts w:ascii="Times New Roman" w:hAnsi="Times New Roman" w:eastAsia="方正楷体_GBK"/>
          <w:b w:val="0"/>
          <w:i w:val="0"/>
          <w:caps w:val="0"/>
          <w:color w:val="000000"/>
          <w:spacing w:val="0"/>
          <w:w w:val="100"/>
          <w:kern w:val="2"/>
          <w:sz w:val="32"/>
          <w:szCs w:val="32"/>
          <w:lang w:val="en-US" w:eastAsia="zh-CN" w:bidi="ar-SA"/>
        </w:rPr>
        <w:t>（一）巩固提升优势服务业</w:t>
      </w:r>
      <w:bookmarkEnd w:id="51"/>
    </w:p>
    <w:p>
      <w:pPr>
        <w:pStyle w:val="18"/>
        <w:keepNext w:val="0"/>
        <w:keepLines w:val="0"/>
        <w:pageBreakBefore w:val="0"/>
        <w:widowControl/>
        <w:shd w:val="clear" w:color="auto" w:fill="FFFFFF"/>
        <w:tabs>
          <w:tab w:val="left" w:pos="8528"/>
        </w:tabs>
        <w:kinsoku/>
        <w:wordWrap/>
        <w:overflowPunct/>
        <w:topLinePunct w:val="0"/>
        <w:autoSpaceDE/>
        <w:autoSpaceDN/>
        <w:bidi w:val="0"/>
        <w:adjustRightInd/>
        <w:snapToGrid/>
        <w:spacing w:before="0" w:beforeAutospacing="0" w:after="0" w:afterAutospacing="0" w:line="560" w:lineRule="exact"/>
        <w:ind w:left="0" w:leftChars="0" w:right="0" w:rightChars="0" w:firstLine="632" w:firstLineChars="200"/>
        <w:jc w:val="both"/>
        <w:textAlignment w:val="baseline"/>
        <w:outlineLvl w:val="9"/>
        <w:rPr>
          <w:rStyle w:val="8"/>
          <w:rFonts w:ascii="Times New Roman" w:hAnsi="Times New Roman" w:eastAsia="方正仿宋_GBK"/>
          <w:b w:val="0"/>
          <w:i w:val="0"/>
          <w:caps w:val="0"/>
          <w:color w:val="000000"/>
          <w:spacing w:val="0"/>
          <w:w w:val="100"/>
          <w:kern w:val="0"/>
          <w:sz w:val="32"/>
          <w:szCs w:val="32"/>
          <w:lang w:val="en-US" w:eastAsia="zh-CN"/>
        </w:rPr>
      </w:pPr>
      <w:r>
        <w:rPr>
          <w:rStyle w:val="8"/>
          <w:rFonts w:ascii="Times New Roman" w:hAnsi="Times New Roman" w:eastAsia="方正楷体_GBK"/>
          <w:b w:val="0"/>
          <w:i w:val="0"/>
          <w:caps w:val="0"/>
          <w:color w:val="000000"/>
          <w:spacing w:val="0"/>
          <w:w w:val="100"/>
          <w:kern w:val="0"/>
          <w:sz w:val="32"/>
          <w:szCs w:val="32"/>
          <w:lang w:val="en-US" w:eastAsia="zh-CN"/>
        </w:rPr>
        <w:t>1.文化旅游业。</w:t>
      </w:r>
      <w:r>
        <w:rPr>
          <w:rStyle w:val="8"/>
          <w:rFonts w:ascii="Times New Roman" w:hAnsi="Times New Roman" w:eastAsia="方正仿宋_GBK"/>
          <w:b w:val="0"/>
          <w:i w:val="0"/>
          <w:caps w:val="0"/>
          <w:color w:val="000000"/>
          <w:spacing w:val="0"/>
          <w:w w:val="100"/>
          <w:kern w:val="0"/>
          <w:sz w:val="32"/>
          <w:szCs w:val="32"/>
          <w:lang w:val="en-US" w:eastAsia="zh-CN"/>
        </w:rPr>
        <w:t>瞄准“旅游强区”这个关键性目标，锁定“中国峡谷城·武陵会客厅——清新黔江”这一独占性定位，突出“一城主导、两区示范、三核驱动、全域融合”的旅游发展总体思路，做靓中国峡谷城“一城主导”，建成国家</w:t>
      </w:r>
      <w:r>
        <w:rPr>
          <w:rStyle w:val="8"/>
          <w:rFonts w:ascii="Times New Roman" w:hAnsi="Times New Roman" w:eastAsia="方正仿宋_GBK"/>
          <w:b w:val="0"/>
          <w:i w:val="0"/>
          <w:caps w:val="0"/>
          <w:color w:val="000000"/>
          <w:spacing w:val="0"/>
          <w:w w:val="100"/>
          <w:kern w:val="2"/>
          <w:sz w:val="32"/>
          <w:szCs w:val="32"/>
          <w:lang w:val="en-US" w:eastAsia="zh-CN" w:bidi="ar-SA"/>
        </w:rPr>
        <w:t>全域旅游示范区、国家文化和旅游产业融合示范区“两区示范”，打造濯水5A景区、城市大峡谷5A景区、三塘盖国家级旅游度假区“三核驱动”，实现文化、旅游、城市、乡村、森林、气候“全域融合”，力争到2025年，接待游客人数达到4200万人次，实现旅游综合收入260亿元，力争文化和旅游增加值占GDP比重的15%以上。</w:t>
      </w:r>
    </w:p>
    <w:p>
      <w:pPr>
        <w:pStyle w:val="19"/>
        <w:snapToGrid/>
        <w:spacing w:before="0" w:beforeAutospacing="0" w:after="0" w:afterAutospacing="0" w:line="240" w:lineRule="auto"/>
        <w:ind w:left="0" w:leftChars="0" w:right="22" w:rightChars="7"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——打造旅游市场品牌。</w:t>
      </w:r>
      <w:r>
        <w:rPr>
          <w:rStyle w:val="8"/>
          <w:rFonts w:ascii="Times New Roman" w:hAnsi="Times New Roman" w:eastAsia="方正仿宋_GBK"/>
          <w:b w:val="0"/>
          <w:i w:val="0"/>
          <w:caps w:val="0"/>
          <w:color w:val="000000"/>
          <w:spacing w:val="0"/>
          <w:w w:val="100"/>
          <w:sz w:val="32"/>
          <w:szCs w:val="32"/>
          <w:lang w:val="en-US" w:eastAsia="zh-CN"/>
        </w:rPr>
        <w:t>塑造旅游主题品牌，以濯水古镇、阿蓬江等综合旅游开发为契机，以黔江本地特色为背景，重点打造沿阿蓬江综合性旅游主题品牌。塑造特色产品品牌，加大度假区、A级景区、乡村景点、休闲农庄的宣传力度，通过摄影大赛、书画采风、媒体投票等载体，打造一批集黔江休闲度假、古村观光、文化探源、农业休闲、养老养生等于一体的特色旅游产品品牌。塑造特色街区品牌，以景区、度假区为载体，重点打造黔江美食步行街、旅游风情街等旅游特色街区，引进一批“吃住行游娱购”旅游特色经营项目入驻，推荐鸡杂、牛肉脯、珍珠兰茶等黔江特色美食旅游产品，植入吸引游客的休闲时尚元素，推出一批夜游配套项目。同时，着力加强旅游市场营销推广，建立旅游企业营销联盟，开展旅游“微营销”，不断提升黔江旅游目的地整体形象。</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推动旅游融合发展。大力实施“旅游+”工程，促进旅游与一二三产业的融合发展，丰富旅游产品业态。推动“旅游+文化”融合发展。建设渝东南武陵山区文化旅游走廊，打造国内具有影响力的影视创作基地，构建渝东南武陵山文化精品旅游路线、文化旅游品牌、文化旅游公共服务体系，不断丰富和完善旅游元素，培育旅游经济新增长点。推动“旅游+体育”融合发展。固化中国山地马拉松黔江站、中国跑客节等品牌赛事活动，持续扩大具有唯一性的品牌节会活动影响力，积极开发山地马拉松、山地自行车、冰雪运动、健身养生、天然浴场、越野、登山、攀岩、垂钓、漂流等体育旅游新产品。推动“旅游+农业”融合发展。依托乡村振兴、美丽乡村建设，重点实施乡村旅游示范点建设，发展果蔬采摘、亲子农场、民俗体验、森林养生、避暑度假等旅游产品，引导组织当地群众参与发展乡村旅游，带动群众增收致富。推动“旅游+商业”融合发展。</w:t>
      </w:r>
      <w:r>
        <w:rPr>
          <w:rStyle w:val="8"/>
          <w:rFonts w:ascii="Times New Roman" w:hAnsi="Times New Roman" w:eastAsia="方正仿宋_GBK"/>
          <w:b w:val="0"/>
          <w:i w:val="0"/>
          <w:caps w:val="0"/>
          <w:color w:val="000000"/>
          <w:spacing w:val="0"/>
          <w:w w:val="100"/>
          <w:sz w:val="32"/>
          <w:szCs w:val="32"/>
        </w:rPr>
        <w:t>打造特色旅游商业街区，提升景区商业业态，包装推出黔江八宝、渝东南十绝、武陵山十大名品等旅游商品</w:t>
      </w:r>
      <w:r>
        <w:rPr>
          <w:rStyle w:val="8"/>
          <w:rFonts w:ascii="Times New Roman" w:hAnsi="Times New Roman" w:eastAsia="方正仿宋_GBK"/>
          <w:b w:val="0"/>
          <w:i w:val="0"/>
          <w:caps w:val="0"/>
          <w:color w:val="000000"/>
          <w:spacing w:val="0"/>
          <w:w w:val="100"/>
          <w:sz w:val="32"/>
          <w:szCs w:val="32"/>
          <w:lang w:eastAsia="zh-CN"/>
        </w:rPr>
        <w:t>。</w:t>
      </w:r>
      <w:r>
        <w:rPr>
          <w:rStyle w:val="8"/>
          <w:rFonts w:ascii="Times New Roman" w:hAnsi="Times New Roman" w:eastAsia="方正仿宋_GBK"/>
          <w:b w:val="0"/>
          <w:bCs w:val="0"/>
          <w:i w:val="0"/>
          <w:caps w:val="0"/>
          <w:color w:val="000000"/>
          <w:spacing w:val="0"/>
          <w:w w:val="100"/>
          <w:sz w:val="32"/>
          <w:szCs w:val="32"/>
          <w:lang w:val="en-US" w:eastAsia="zh-CN"/>
        </w:rPr>
        <w:t>发展一批星级酒店、商务酒店、连锁酒店和民宿客栈，在新老城和濯水等地鼓励兴办特色餐饮，布局综合业态，打造旅游配套服务链条和综合服务中心。推动“旅游+医疗”融合发展。发展医疗康养旅游，开发护理院、疗养院、中医药基地、中医药保健养生、康养度假综合体等项目。推动“旅游+交通”融合发展。打造一批自驾游露营基地、房车基地，推进通用航空基地建设，引进开展航空器展示、高空跳伞、航空旅游等项目。</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——建设民族文化高地。深化文旅融合发展，从文化要素的注入推动旅游特色化、品质化、产业化发展</w:t>
      </w:r>
      <w:r>
        <w:rPr>
          <w:rStyle w:val="8"/>
          <w:rFonts w:ascii="Times New Roman" w:hAnsi="Times New Roman" w:eastAsia="方正仿宋_GBK"/>
          <w:b w:val="0"/>
          <w:i w:val="0"/>
          <w:caps w:val="0"/>
          <w:spacing w:val="0"/>
          <w:w w:val="100"/>
          <w:sz w:val="32"/>
          <w:szCs w:val="32"/>
        </w:rPr>
        <w:t>。做特做强濯水古镇文化、芭拉胡土家文化、三塘盖康养文化、官村兵屯文化、小南海土家十三寨地质文化及民族文化、水车坪红色及乡村文化，将文化元素植入景区开发、运营、宣传营销之中，提高重点景区文化吸引力。</w:t>
      </w:r>
      <w:r>
        <w:rPr>
          <w:rStyle w:val="8"/>
          <w:rFonts w:ascii="Times New Roman" w:hAnsi="Times New Roman" w:eastAsia="方正仿宋_GBK"/>
          <w:b w:val="0"/>
          <w:i w:val="0"/>
          <w:caps w:val="0"/>
          <w:spacing w:val="0"/>
          <w:w w:val="100"/>
          <w:sz w:val="32"/>
          <w:szCs w:val="32"/>
          <w:lang w:val="en-US" w:eastAsia="zh-CN"/>
        </w:rPr>
        <w:t>以文化产业园区（基地）建设为载体，加快发展文化旅游、展览演艺、民族工艺等传统产业，大力引进和培育文化创意设计、影视、动漫等新兴文化产业，推动文化企业集聚发展，培育一批具有较强竞争力的文化企业。加快武陵山区（渝东南）非物质文化遗产开发利用步伐，打造渝东南民族手工艺品展示展销中心，推进武陵山区（渝东南）土家族苗族文化生态保护实验区非遗馆、文创园等项目建设，利用“前店后坊”的方式，加工销售西兰卡普、黔江鸡杂、濯水绿豆粉、三塘肾豆、蓬江食品等地方民俗工艺品及土特产。</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推动旅游开放合作。深化旅游区域合作。做实武陵山旅游发展联盟，争取上级支持建立武陵山旅游营销基金，推动武陵山地区实现资源共享、线路共享，旅游宣传营销形成整体合力。加强宣传营销推广。整合各级、各部门资源，建立政府主导形象宣传、企业主抓产品促销、部门参与的宣传营销机制，创新宣传营销方式，有方位、有声势，唱响主题形象口号，全面增强黔江旅游知名度和影响力。优化发展政策。制定更为优惠的旅游招商引资政策，吸引社会资本投资文化旅游业，制定更加优惠的奖励激励政策，对宣传营销、旅行社组团来黔，品牌创建、民间演出等方面实行一定额度的以奖代补。</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优化旅游发展空间。根据黔江区旅游资源分布的空间区域特点，依托城区建设打造北部旅游核心区，形成游览和游客集散中心；依托濯水古镇恢复打造南部旅游核心区，带动周边旅游景点开发；以阿蓬江及其支流沿线交通通道为轴，依托沿线历史遗址、自然景点、文化传说等资源，构建中部旅游发展</w:t>
      </w:r>
      <w:r>
        <w:rPr>
          <w:rStyle w:val="8"/>
          <w:rFonts w:ascii="Times New Roman" w:hAnsi="Times New Roman" w:eastAsia="方正仿宋_GBK"/>
          <w:b w:val="0"/>
          <w:i w:val="0"/>
          <w:caps w:val="0"/>
          <w:color w:val="000000"/>
          <w:spacing w:val="0"/>
          <w:w w:val="100"/>
          <w:kern w:val="2"/>
          <w:sz w:val="32"/>
          <w:szCs w:val="32"/>
          <w:lang w:val="en-US" w:eastAsia="zh-CN" w:bidi="ar-SA"/>
        </w:rPr>
        <w:t>产业带，重点发展观光旅游、度假旅游等项目；依托良好的森林生态旅游资源打造东翼生态旅游带，重点发展山岳观光、森林探险旅游、休闲运动类旅游、农业观光旅游等项目；依托现有河流湿地观光、宗教民宿文化、农业种植、村寨遗址等资源打造西翼民俗文化带，重点开展湿地观光、运动休闲游等项目。</w:t>
      </w:r>
    </w:p>
    <w:p>
      <w:pPr>
        <w:pStyle w:val="18"/>
        <w:keepNext w:val="0"/>
        <w:keepLines w:val="0"/>
        <w:pageBreakBefore w:val="0"/>
        <w:widowControl w:val="0"/>
        <w:numPr>
          <w:ilvl w:val="0"/>
          <w:numId w:val="8"/>
        </w:numPr>
        <w:shd w:val="clear" w:color="auto" w:fill="FFFFFF"/>
        <w:kinsoku/>
        <w:wordWrap/>
        <w:overflowPunct/>
        <w:topLinePunct w:val="0"/>
        <w:autoSpaceDE/>
        <w:autoSpaceDN/>
        <w:bidi w:val="0"/>
        <w:adjustRightInd/>
        <w:snapToGrid/>
        <w:spacing w:before="0" w:beforeAutospacing="0" w:after="0" w:afterAutospacing="0" w:line="240" w:lineRule="auto"/>
        <w:ind w:left="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0"/>
          <w:sz w:val="32"/>
          <w:szCs w:val="32"/>
          <w:lang w:val="en-US" w:eastAsia="zh-CN"/>
        </w:rPr>
      </w:pPr>
      <w:r>
        <w:rPr>
          <w:rStyle w:val="8"/>
          <w:rFonts w:ascii="Times New Roman" w:hAnsi="Times New Roman" w:eastAsia="方正楷体_GBK"/>
          <w:b w:val="0"/>
          <w:i w:val="0"/>
          <w:caps w:val="0"/>
          <w:color w:val="000000"/>
          <w:spacing w:val="0"/>
          <w:w w:val="100"/>
          <w:kern w:val="0"/>
          <w:sz w:val="32"/>
          <w:szCs w:val="32"/>
          <w:lang w:val="en-US" w:eastAsia="zh-CN"/>
        </w:rPr>
        <w:t>大健康服务。</w:t>
      </w:r>
      <w:r>
        <w:rPr>
          <w:rStyle w:val="8"/>
          <w:rFonts w:ascii="Times New Roman" w:hAnsi="Times New Roman" w:eastAsia="方正仿宋_GBK"/>
          <w:b w:val="0"/>
          <w:bCs w:val="0"/>
          <w:i w:val="0"/>
          <w:caps w:val="0"/>
          <w:color w:val="000000"/>
          <w:spacing w:val="0"/>
          <w:w w:val="100"/>
          <w:kern w:val="0"/>
          <w:sz w:val="32"/>
          <w:szCs w:val="32"/>
          <w:lang w:val="en-US" w:eastAsia="zh-CN"/>
        </w:rPr>
        <w:t>加快渝东南医疗高地建设，着力推动医疗卫生与服务业深度融合发展，打造渝东南大健康服务中心城市。加强疾病预防控制体系建设，提升疾病预防控制水平。建设武陵山公共卫生应急医院，形成渝东南疾病预防控制和重大突发公共卫生事件救治区域中心。实施基层医疗卫生服务能力提升工程，深入推进家庭医生签约服务。发挥中医药特色优势，提升中医药医疗卫生服务水平。围绕全生命周期管理，培育发展健康咨询、康体美容、康复保健、健康保险等服务门类，推动健康服务与旅游、养老、保险、体育跨界融合发展。到2025年，大健康服务业营业收入达到10亿元，大健康服务业占服务业比重达到5.5%左右。</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大力培育康体养生服务。利用武陵山区独特的自然资源条件，广泛挖掘中药材，做大中药材种植基地，加强中医药科研，打造从种植、饮片到中成药的中医药全产业链，以中医预防保健的独特优势大力发展中医药健康服务业。鼓励本地医疗机构、企业与知名医疗、保健机构合作，开发康体养生产品，满足游客休闲疗养服务需求。加快健康体检行业的规模化与产业化发展，推动健康咨询、健康保险与健康服务融合发展。健全康复医疗服务网络，提高康复医学服务能力。围绕中医养生、美食养生、生态养生、乡村养生等主题养生产品，挖掘和推出一批中药材“食补”方子促进汤补产业发展，推动药膳养生、品药膳、洗药浴、中药保健茶等多元化发展，完善休闲疗养服务网络，做大中医、疗养等康体养生产业，力争把康养产业培育为黔江经济社会发展的“生力军”，做大唱响“清新黔江·康养胜地”康养品牌。</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健全养老服务体系。提升发展居家社区养老，加大区财政对日间照料中心、老年活动中心等养老基础设施的投入；引导家庭养老向居家社区养老转变，加大政府购买服务力度，支持社会资本创新发展居家养老上门服务。深入应用互联网、大数据、人工智能等技术整合养老服务资源，打造居家养老信息化平台，探索居家社区智慧养老，培育一批养老服务运营企业。重点发展民营机构养老，鼓励社会资本发挥养老产业化主力军作用，建设日常照护、医疗康复、智慧养老等功能完善的综合性养老机构；积极落实各项医养融合政策，整合医疗与养老资源，大力发展医护型、养护型养老机构，促进医养结合。</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应用信息新技术发展医疗服务。依托武陵山区域医疗中心，推动信息新技术在医疗卫生领域的广泛应用，发展智慧医疗，建设智慧医院。加强部门联动，研究搭建包括远程医疗行业管理、服务价格、医保报销和激励机制在内的政策体系，探索远程服务管理模式，建立以龙头医院为枢纽的上下互通、内外互联的远程医疗协作网，发挥远程服务平台实效。支持各类医疗机构配置数字化检验检查设备和大数据分析设备，提供快速、高效、精准的医学诊断结果和个性化治疗方案，尝试运用人工智能技术，对医学影像进行图像处理和分析，并模拟放射科医生阅片模式进行诊断。推动全区电子病历、养老数据等医疗数据库建设及数据共享。</w:t>
      </w:r>
    </w:p>
    <w:p>
      <w:pPr>
        <w:pStyle w:val="19"/>
        <w:keepNext w:val="0"/>
        <w:keepLines w:val="0"/>
        <w:pageBreakBefore w:val="0"/>
        <w:widowControl w:val="0"/>
        <w:tabs>
          <w:tab w:val="left" w:pos="8820"/>
        </w:tabs>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积极发展健康运动。以渝东南中心城市群众体育为基础，大力发展体育事业和体育产业。广泛开展全民健身活动。围绕建设户外运动目的地和少数民族传统体育基地，强化新城全民健身中心，城市体育公园建设，打造阿蓬江水上休闲运动、峡谷极限运动项目；围绕三塘盖、水市建设户外康体、拓展、露营基地，继续高质量举办中国山地马拉松系列赛黔江站、中国跑客节、垂钓等国际大赛，持续释放赛事展形象、聚人气的效能。大力引进或培育专业体育赛事活动运营企业，探索承办重庆市、成渝双城经济圈的区域性大型体育赛事，设置黔江站点或分赛场。以健康运动产业为依托，扩大现代服务业消费市场，带动文化创意、文化旅游、现代商贸等现代服务业外向发展，以良好的体育赛事举办能力和接待服务能力，提升黔江区现代服务业品牌效应。</w:t>
      </w:r>
    </w:p>
    <w:p>
      <w:pPr>
        <w:pStyle w:val="18"/>
        <w:keepNext w:val="0"/>
        <w:keepLines w:val="0"/>
        <w:pageBreakBefore w:val="0"/>
        <w:widowControl w:val="0"/>
        <w:numPr>
          <w:ilvl w:val="0"/>
          <w:numId w:val="8"/>
        </w:numP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0"/>
          <w:sz w:val="32"/>
          <w:szCs w:val="32"/>
          <w:lang w:val="en-US" w:eastAsia="zh-CN"/>
        </w:rPr>
      </w:pPr>
      <w:r>
        <w:rPr>
          <w:rStyle w:val="8"/>
          <w:rFonts w:ascii="Times New Roman" w:hAnsi="Times New Roman" w:eastAsia="方正楷体_GBK"/>
          <w:b w:val="0"/>
          <w:i w:val="0"/>
          <w:caps w:val="0"/>
          <w:color w:val="000000"/>
          <w:spacing w:val="0"/>
          <w:w w:val="100"/>
          <w:kern w:val="0"/>
          <w:sz w:val="32"/>
          <w:szCs w:val="32"/>
          <w:lang w:val="en-US" w:eastAsia="zh-CN"/>
        </w:rPr>
        <w:t>现代物流。</w:t>
      </w:r>
      <w:r>
        <w:rPr>
          <w:rStyle w:val="8"/>
          <w:rFonts w:ascii="Times New Roman" w:hAnsi="Times New Roman" w:eastAsia="方正仿宋_GBK"/>
          <w:b w:val="0"/>
          <w:bCs w:val="0"/>
          <w:i w:val="0"/>
          <w:caps w:val="0"/>
          <w:color w:val="000000"/>
          <w:spacing w:val="0"/>
          <w:w w:val="100"/>
          <w:kern w:val="0"/>
          <w:sz w:val="32"/>
          <w:szCs w:val="32"/>
          <w:lang w:val="en-US" w:eastAsia="zh-CN"/>
        </w:rPr>
        <w:t>大力发展社会化、专业化物流，延伸物流产业链和价值链，提升物流信息化、标准化、网络化、智慧化水平，建设高效便捷、通达顺畅、绿色安全的现代物流服务体系，构建内陆国际物流枢纽支撑。做大做强电商物流、冷链物流、应急物流、智能物流。</w:t>
      </w:r>
      <w:r>
        <w:rPr>
          <w:rStyle w:val="8"/>
          <w:rFonts w:ascii="Times New Roman" w:hAnsi="Times New Roman" w:eastAsia="方正仿宋_GBK"/>
          <w:b w:val="0"/>
          <w:i w:val="0"/>
          <w:caps w:val="0"/>
          <w:color w:val="000000"/>
          <w:spacing w:val="-4"/>
          <w:w w:val="100"/>
          <w:kern w:val="0"/>
          <w:sz w:val="32"/>
          <w:szCs w:val="32"/>
          <w:lang w:val="en-US" w:eastAsia="zh-CN"/>
        </w:rPr>
        <w:t>推广企业零库存管理模式，</w:t>
      </w:r>
      <w:r>
        <w:rPr>
          <w:rStyle w:val="8"/>
          <w:rFonts w:ascii="Times New Roman" w:hAnsi="Times New Roman" w:eastAsia="方正仿宋_GBK"/>
          <w:b w:val="0"/>
          <w:bCs w:val="0"/>
          <w:i w:val="0"/>
          <w:caps w:val="0"/>
          <w:color w:val="000000"/>
          <w:spacing w:val="0"/>
          <w:w w:val="100"/>
          <w:kern w:val="0"/>
          <w:sz w:val="32"/>
          <w:szCs w:val="32"/>
          <w:lang w:val="en-US" w:eastAsia="zh-CN"/>
        </w:rPr>
        <w:t>培育发展专业化、精细化第三方物流，积极发展第四方物流。发展智慧物流，推进云计算、物联网、地理信息等现代信息技术在物流体系中的应用，布局建设一批物流公共信息平台。培育5A级物流企业、全国百强物流企业。到2025年，培育本地亿级物流企业5家，初步形成国家级物流枢纽架构，企业物流成本下降到15%以下。</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完善物流基础设施。加快推进铁路货场、机场航空口岸开放等物流基础设施建设，依托涪陵港、万州港，发展以铁航、公铁、公航、公水等多种联运形式，实行“定时、定点”作业，提高多式联运作业效率。完善正阳物流园基地仓库、停车场、交易大厅、办公等物流配套设施；加快铁路货场交通接驳设施的建设，加强铁路与公路、机场的衔接；升级电商物流分拨中心、渝东南冷链物流中心、鑫众磊国际建材城仓储配送中心、渝东南粮食物流中心、渝东南军粮供应中心等设施，构成以“日用品、电子商务、农产品、冷链、医药”等为主的多类智能化专项物流配送仓储。</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做大做强物流企业。以物流园区和物流中心为载体，大力招引世界500强、“国字号”物流大企业。创新招商方式，建立健全客商、项目信息库，开展“以商招商”、“上门招商”、“会展招商”和“存量招商”等。鼓励工业企业实施主辅分离，鼓励工业企业将现代物流、运输、仓储、配送等业务从主业中分离出来，组建物流企业。落实企业培大育强系列政策措施，按运输类、站场类和综合类等业务领域，分类择优加以培育扶持，重点扶持和发展一批规模比较大，技术水平高，具有核心竞争力的现代物流龙头企业，带动全行业发展转型。</w:t>
      </w:r>
    </w:p>
    <w:p>
      <w:pPr>
        <w:pStyle w:val="19"/>
        <w:keepNext w:val="0"/>
        <w:keepLines w:val="0"/>
        <w:pageBreakBefore w:val="0"/>
        <w:widowControl w:val="0"/>
        <w:kinsoku/>
        <w:wordWrap/>
        <w:overflowPunct/>
        <w:topLinePunct w:val="0"/>
        <w:autoSpaceDE/>
        <w:autoSpaceDN/>
        <w:bidi w:val="0"/>
        <w:adjustRightInd/>
        <w:snapToGrid/>
        <w:spacing w:beforeAutospacing="0" w:afterAutospacing="0" w:line="560" w:lineRule="exact"/>
        <w:ind w:left="0" w:leftChars="0" w:right="0" w:rightChars="0" w:firstLine="632" w:firstLineChars="200"/>
        <w:jc w:val="both"/>
        <w:textAlignment w:val="baseline"/>
        <w:outlineLvl w:val="9"/>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推动智慧物流建设。运用物联网、互联网等信息技术，建立物流公共服务平台，集成综合信息交换、物流信息集成服务、物流交易支持和物流协同管理等主要功能，推动线上信息与线下实体融合发展，提升物流综合服务效率与效益。鼓励企业运用仓储管理系统、运输管理系统、电子订货系统等信息管理系统，以及自动立体化仓库、自动导向车、射频识别等装备技术，提高物流效率，增强市场竞争力。推动电子商务与全社会物流资源更加紧密结合，加快全区物流服务模式和业务流程创新。推进电商物流载体建设，统筹电商物流发展。</w:t>
      </w:r>
    </w:p>
    <w:p>
      <w:pPr>
        <w:pStyle w:val="18"/>
        <w:keepNext w:val="0"/>
        <w:keepLines w:val="0"/>
        <w:pageBreakBefore w:val="0"/>
        <w:widowControl w:val="0"/>
        <w:numPr>
          <w:ilvl w:val="0"/>
          <w:numId w:val="8"/>
        </w:numP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32" w:firstLineChars="200"/>
        <w:jc w:val="both"/>
        <w:textAlignment w:val="baseline"/>
        <w:outlineLvl w:val="9"/>
        <w:rPr>
          <w:rStyle w:val="8"/>
          <w:rFonts w:ascii="Times New Roman" w:hAnsi="Times New Roman" w:eastAsia="方正仿宋_GBK"/>
          <w:b w:val="0"/>
          <w:bCs w:val="0"/>
          <w:i w:val="0"/>
          <w:caps w:val="0"/>
          <w:color w:val="000000"/>
          <w:spacing w:val="0"/>
          <w:w w:val="100"/>
          <w:kern w:val="0"/>
          <w:sz w:val="32"/>
          <w:szCs w:val="32"/>
          <w:lang w:val="en-US" w:eastAsia="zh-CN"/>
        </w:rPr>
      </w:pPr>
      <w:r>
        <w:rPr>
          <w:rStyle w:val="8"/>
          <w:rFonts w:ascii="Times New Roman" w:hAnsi="Times New Roman" w:eastAsia="方正楷体_GBK"/>
          <w:b w:val="0"/>
          <w:i w:val="0"/>
          <w:caps w:val="0"/>
          <w:color w:val="000000"/>
          <w:spacing w:val="0"/>
          <w:w w:val="100"/>
          <w:kern w:val="0"/>
          <w:sz w:val="32"/>
          <w:szCs w:val="32"/>
          <w:lang w:val="en-US" w:eastAsia="zh-CN"/>
        </w:rPr>
        <w:t>科技服务。</w:t>
      </w:r>
      <w:r>
        <w:rPr>
          <w:rStyle w:val="8"/>
          <w:rFonts w:ascii="Times New Roman" w:hAnsi="Times New Roman" w:eastAsia="方正仿宋_GBK"/>
          <w:b w:val="0"/>
          <w:bCs w:val="0"/>
          <w:i w:val="0"/>
          <w:caps w:val="0"/>
          <w:color w:val="000000"/>
          <w:spacing w:val="0"/>
          <w:w w:val="100"/>
          <w:kern w:val="0"/>
          <w:sz w:val="32"/>
          <w:szCs w:val="32"/>
          <w:lang w:val="en-US" w:eastAsia="zh-CN"/>
        </w:rPr>
        <w:t>围绕“服务园区发展”，按照“强载体、建平台、优功能”思路，基于我区农业高新、医药健康、智能制造和现代服务业等产业集群，培育一批科技服务平台，加快完善覆盖创新全链条的研发设计、技术转移、检验检测认证服务体系，完善“产学研用”合作机制，推动黔江区加快建成重庆市级高新技术产业开发区。到2025年，新增研发机构、科技服务机构50家，国家级“双创平台”突破10家，全区研发经费投入强度达到2%，科技研究与技术服务业营业收入达到2亿元。</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——建设服务载体。</w:t>
      </w:r>
      <w:r>
        <w:rPr>
          <w:rStyle w:val="8"/>
          <w:rFonts w:ascii="Times New Roman" w:hAnsi="Times New Roman" w:eastAsia="方正仿宋_GBK"/>
          <w:b w:val="0"/>
          <w:bCs w:val="0"/>
          <w:i w:val="0"/>
          <w:caps w:val="0"/>
          <w:color w:val="000000"/>
          <w:spacing w:val="0"/>
          <w:w w:val="100"/>
          <w:kern w:val="0"/>
          <w:sz w:val="32"/>
          <w:szCs w:val="32"/>
          <w:lang w:val="en-US" w:eastAsia="zh-CN"/>
        </w:rPr>
        <w:t>依托黔江工业园区，建设创新研发中心、技术转移中心、科研流动站（所）、重点实验室等科技服务业载体，为早期创业团队、企业提供办公空间、创业指导、路演平台等，同时依托本地的新材料、纺织等主导产业，为创业团队、企业提供专业技术支持、产业论坛等服务。依托新材料、蚕桑2个院士专家工作站，拓宽技术转移服务范围，为有技术需求的企业提供科技中介服务，促进相关先进技术在黔江区进行成果转化。结合黔江区及周边企业检验检测技术，发展检验认证服务，打造检验认证服务集聚区。</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——培育市场主体。鼓励发展创业孵化服务，培育创业服务主体，与国内知名高校合作引导创业项目落地。建立综合的服务对接平台，打造区域性知识产权服务中心。引进技术转移服务机构，为黔</w:t>
      </w:r>
      <w:r>
        <w:rPr>
          <w:rStyle w:val="8"/>
          <w:rFonts w:ascii="Times New Roman" w:hAnsi="Times New Roman" w:eastAsia="方正仿宋_GBK"/>
          <w:b w:val="0"/>
          <w:bCs w:val="0"/>
          <w:i w:val="0"/>
          <w:caps w:val="0"/>
          <w:color w:val="000000"/>
          <w:spacing w:val="0"/>
          <w:w w:val="100"/>
          <w:kern w:val="0"/>
          <w:sz w:val="32"/>
          <w:szCs w:val="32"/>
          <w:lang w:val="en-US" w:eastAsia="zh-CN"/>
        </w:rPr>
        <w:t>江及武陵山区各个区县对接先进的农业、制造业及服务业技术成果，促进先进技术在黔江及武陵山区进行成果转化。引进检验检测认证机构，鼓励周边龙头企业在黔江区设立认证中心，开放本地企业检验检测认证服务产能，服务黔江及武陵山区。引进黔江及周边产业所需的、知名的科研团队或机构，提升区内科研实力，并以服务周边企业科研需求为目标，拓展科研服务市场。</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sz w:val="32"/>
          <w:szCs w:val="32"/>
          <w:lang w:val="en-US" w:eastAsia="zh-CN"/>
        </w:rPr>
      </w:pPr>
      <w:r>
        <w:rPr>
          <w:rStyle w:val="8"/>
          <w:rFonts w:ascii="Times New Roman" w:hAnsi="Times New Roman" w:eastAsia="方正仿宋_GBK"/>
          <w:b w:val="0"/>
          <w:bCs w:val="0"/>
          <w:i w:val="0"/>
          <w:caps w:val="0"/>
          <w:color w:val="000000"/>
          <w:spacing w:val="0"/>
          <w:w w:val="100"/>
          <w:sz w:val="32"/>
          <w:szCs w:val="32"/>
          <w:lang w:val="en-US" w:eastAsia="zh-CN"/>
        </w:rPr>
        <w:t>——引导市场需求。</w:t>
      </w:r>
      <w:r>
        <w:rPr>
          <w:rStyle w:val="8"/>
          <w:rFonts w:ascii="Times New Roman" w:hAnsi="Times New Roman" w:eastAsia="方正仿宋_GBK"/>
          <w:b w:val="0"/>
          <w:bCs w:val="0"/>
          <w:i w:val="0"/>
          <w:caps w:val="0"/>
          <w:color w:val="000000"/>
          <w:spacing w:val="0"/>
          <w:w w:val="100"/>
          <w:kern w:val="2"/>
          <w:sz w:val="32"/>
          <w:szCs w:val="32"/>
          <w:lang w:val="en-US" w:eastAsia="zh-CN" w:bidi="ar-SA"/>
        </w:rPr>
        <w:t>制定引导、优惠政策，为科技服务主体提供政策保障，提升研发设计、检验检测认证等科技服务企业的服务能力和水平，鼓励本地企业将科技服务需求外包给相关科技服务企业，举办科技服务论坛、交流会等活动，培育企业科技服务消费意识，形成“创新发展靠科技，科技服务找黔江”的科技服务消费氛围。</w:t>
      </w:r>
    </w:p>
    <w:p>
      <w:pPr>
        <w:pStyle w:val="18"/>
        <w:keepNext w:val="0"/>
        <w:keepLines w:val="0"/>
        <w:pageBreakBefore w:val="0"/>
        <w:widowControl w:val="0"/>
        <w:numPr>
          <w:ilvl w:val="0"/>
          <w:numId w:val="8"/>
        </w:numP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0"/>
          <w:sz w:val="32"/>
          <w:szCs w:val="32"/>
          <w:lang w:val="en-US" w:eastAsia="zh-CN"/>
        </w:rPr>
        <w:t>教育培训服务。</w:t>
      </w:r>
      <w:r>
        <w:rPr>
          <w:rStyle w:val="8"/>
          <w:rFonts w:ascii="Times New Roman" w:hAnsi="Times New Roman" w:eastAsia="方正仿宋_GBK"/>
          <w:b w:val="0"/>
          <w:bCs w:val="0"/>
          <w:i w:val="0"/>
          <w:caps w:val="0"/>
          <w:color w:val="000000"/>
          <w:spacing w:val="0"/>
          <w:w w:val="100"/>
          <w:kern w:val="2"/>
          <w:sz w:val="32"/>
          <w:szCs w:val="32"/>
          <w:lang w:val="en-US" w:eastAsia="zh-CN" w:bidi="ar-SA"/>
        </w:rPr>
        <w:t>以满足高品质教育培训需求为导向，发展多种形式的教育培训服务。积极推动“学历证书+若干职业技能等级证书”制度试点工作。引进、培育、挖掘职业培训、技能培训、兴趣培训、幼儿教育等市场供给主体，推进公共实训、技能鉴定等方面基地建设。探索体制机制改革，推动教育教学改革与产业转型升级衔接配套。加快推进教育培训信息化建设，发展远程教育、网络培训、线上授课等，深化黔江智慧教育平台建设，促进数字资源共建共享。到2025年，建成现代职业教育和终身培训服务体系，基本实现教育培训信息化、现代化。</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全面建成渝东南现代职业教育基地。贯彻国家《职业教育改革实施方案》，出台《黔江区深化职业教育改革发展的意见》，推进“双高”职业院校、高水平中职学校建设，培养工匠人才。“十四五”职业教育规模达3万人左右，建成1所高水平中职学校，培养服务成渝地区双城经济圈建设“大国工匠”技能人才6000~8000人，依托现有高职学院创办1所应用型本科职业院校，创建1所中医药高职院校，把黔江打造成为渝东南职教城。</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推进教育服务社会化。深化社会力量办学体制改革，积极探索教育服务新方式，推动服务主体多元化。鼓励发展股份制、混合所有制职业院校，允许以资本、知识、技术、管理等要素参与办学。支持教育培训领域国际合作，引进高端教育资源和创新运营模式，提升行业整体服务水平。</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推动服务方式网络化。加快教育培训信息化建设，鼓励互联网企业与社会教育机构根据市场需求开发数字教育资源，积极探索教育云服务解决方案，提供网络化教育服务。鼓励学校通过与互联网企业合作等方式，对接线上线下教育资源，探索教育公共服务供给新模式。基于物联网、可穿戴设备、云计算、人工智能、深度学习等核心技术，构建智慧教育教学环境。支持建立跨区域、跨平台的教育数据共享交换标准体系，实现教育基础数据收集和互通共享，推动教育大数据的开放。</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广泛开展社区教育。推进“学习型社区”建设工程，整合社区各类教育培训资源，引入行业组织等多种机构参与开展社区教育项目，为社区居民提供人文艺术、科学技术、幼儿教育、养老保健、生活休闲等方面的教育服务，规范发展秩序。</w:t>
      </w:r>
    </w:p>
    <w:p>
      <w:pPr>
        <w:pStyle w:val="19"/>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52" w:name="_Toc44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1</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优势服务业重点建设项目</w:t>
      </w:r>
      <w:bookmarkEnd w:id="52"/>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998" w:hRule="atLeast"/>
          <w:jc w:val="center"/>
        </w:trPr>
        <w:tc>
          <w:tcPr>
            <w:tcW w:w="8951" w:type="dxa"/>
            <w:tcBorders>
              <w:top w:val="single" w:color="000000" w:sz="12" w:space="0"/>
              <w:left w:val="single" w:color="000000" w:sz="12" w:space="0"/>
              <w:bottom w:val="single" w:color="000000" w:sz="12" w:space="0"/>
              <w:right w:val="single" w:color="000000" w:sz="12" w:space="0"/>
            </w:tcBorders>
            <w:vAlign w:val="top"/>
          </w:tcPr>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文化旅游：</w:t>
            </w:r>
            <w:r>
              <w:rPr>
                <w:rStyle w:val="8"/>
                <w:rFonts w:ascii="Times New Roman" w:hAnsi="Times New Roman" w:eastAsia="方正仿宋_GBK"/>
                <w:b w:val="0"/>
                <w:i w:val="0"/>
                <w:caps w:val="0"/>
                <w:color w:val="000000"/>
                <w:spacing w:val="-4"/>
                <w:w w:val="100"/>
                <w:kern w:val="0"/>
                <w:sz w:val="24"/>
                <w:szCs w:val="24"/>
                <w:lang w:val="en-US" w:eastAsia="zh-CN" w:bidi="ar-SA"/>
              </w:rPr>
              <w:t>中国峡谷城项目、三塘盖国际旅游康养度假区项目、黔江区濯水国际旅游度假区项目、武陵山旅游集散中心、黔江区官村创4A景区项目、黔江区官渡峡景区升级改造项目、濯水实景演艺项目、黔江区峡谷城景区夜游项目、黔江区濯水蒲花水乡高端民宿开发项目、黔江区濯水古镇特色小镇产业协同发展平台配套设施项目、濯水非遗小镇项目、黔江区小南海十三寨景区提升工程、景区房车（自驾车）及露营基地项目、黔江区休闲农业与乡村旅游配套设施建设项目、黔江区阿蓬江一江两岸休闲观光旅游示范带项目、黔江区武陵山渝东南土家族苗族文化生态保护实验区非物质文化遗产馆项目、黔江区渝东南文化创意产业园项目、黔江区海洋极地公园项目、黔江区阿蓬江水上休闲运动项目。</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大健康服务：</w:t>
            </w:r>
            <w:r>
              <w:rPr>
                <w:rStyle w:val="8"/>
                <w:rFonts w:ascii="Times New Roman" w:hAnsi="Times New Roman" w:eastAsia="方正仿宋_GBK"/>
                <w:b w:val="0"/>
                <w:i w:val="0"/>
                <w:caps w:val="0"/>
                <w:color w:val="000000"/>
                <w:spacing w:val="-4"/>
                <w:w w:val="100"/>
                <w:kern w:val="0"/>
                <w:sz w:val="24"/>
                <w:szCs w:val="24"/>
                <w:lang w:val="en-US" w:eastAsia="zh-CN" w:bidi="ar-SA"/>
              </w:rPr>
              <w:t>黔江区中医院县域综合服务能力提升（传承创新中心新建）项目、黔江区中医院县域综合服务能力提标扩能建设项目、黔江区渝东南片区应急抢险救援物资储备中心建设项目、武陵山区域医疗中心（应急医院）项目、重庆市黔江中心医院住院综合楼项目、重庆市黔江中心医院外科大楼及配套工程、重庆市黔江区智慧医疗建设项目、重庆市黔江区基层医疗机构能力提升工程项目、黔江区文体中心项目、黔江区市民体育健身中心项目、黔江区全民健身中心改扩建项目、黔江区登山/健身/骑行道建设项目、黔江区养老服务建设项目、黔江区正阳圣境森林康养小镇项目、黔江区老年公寓建设项目、黔江区经营性公墓项目、黔江区乡镇公益性公墓项目、黔江区殡仪服务站建设项目、黔江区渝东南片区儿童福利院项目、黔江区水车坪度假小镇项目、黔江区质子医疗综合体项目、黔江区民族医院康养综合大楼项目。</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现代物流：</w:t>
            </w:r>
            <w:r>
              <w:rPr>
                <w:rStyle w:val="8"/>
                <w:rFonts w:ascii="Times New Roman" w:hAnsi="Times New Roman" w:eastAsia="方正仿宋_GBK"/>
                <w:b w:val="0"/>
                <w:i w:val="0"/>
                <w:caps w:val="0"/>
                <w:color w:val="000000"/>
                <w:spacing w:val="-4"/>
                <w:w w:val="100"/>
                <w:kern w:val="0"/>
                <w:sz w:val="24"/>
                <w:szCs w:val="24"/>
                <w:lang w:val="en-US" w:eastAsia="zh-CN" w:bidi="ar-SA"/>
              </w:rPr>
              <w:t>渝东南货运枢纽（450万吨）项目、黔江区公路物流港项目、黔江区武陵山空港物流园项目、黔江武陵山机场航空口岸开放项目、黔江保税物流中心（B型）项目、黔江区铁路运输类海关监管作业场所项目、黔江区城乡高效配送项目、武陵山区域性快递物流分拨中心项目、黔江区渝东南冷链物流中心项目、黔江区渝东南农资物流配送中心迁建项目。</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科技服务：</w:t>
            </w:r>
            <w:r>
              <w:rPr>
                <w:rStyle w:val="8"/>
                <w:rFonts w:ascii="Times New Roman" w:hAnsi="Times New Roman" w:eastAsia="方正仿宋_GBK"/>
                <w:b w:val="0"/>
                <w:bCs w:val="0"/>
                <w:i w:val="0"/>
                <w:caps w:val="0"/>
                <w:color w:val="000000"/>
                <w:spacing w:val="-4"/>
                <w:w w:val="100"/>
                <w:kern w:val="0"/>
                <w:sz w:val="24"/>
                <w:szCs w:val="24"/>
                <w:lang w:val="en-US" w:eastAsia="zh-CN" w:bidi="ar-SA"/>
              </w:rPr>
              <w:t>中国华录黔江数据湖科技园项目。</w:t>
            </w:r>
          </w:p>
          <w:p>
            <w:pPr>
              <w:keepNext w:val="0"/>
              <w:keepLines w:val="0"/>
              <w:pageBreakBefore w:val="0"/>
              <w:widowControl w:val="0"/>
              <w:kinsoku/>
              <w:wordWrap/>
              <w:overflowPunct/>
              <w:topLinePunct w:val="0"/>
              <w:autoSpaceDE/>
              <w:autoSpaceDN/>
              <w:bidi w:val="0"/>
              <w:adjustRightInd/>
              <w:snapToGrid w:val="0"/>
              <w:spacing w:before="0" w:beforeAutospacing="0" w:after="0" w:afterAutospacing="0" w:line="500" w:lineRule="exact"/>
              <w:ind w:right="0" w:rightChars="0"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教育培训服务：</w:t>
            </w:r>
            <w:r>
              <w:rPr>
                <w:rStyle w:val="8"/>
                <w:rFonts w:ascii="Times New Roman" w:hAnsi="Times New Roman" w:eastAsia="方正仿宋_GBK"/>
                <w:b w:val="0"/>
                <w:bCs w:val="0"/>
                <w:i w:val="0"/>
                <w:caps w:val="0"/>
                <w:color w:val="000000"/>
                <w:spacing w:val="-4"/>
                <w:w w:val="100"/>
                <w:kern w:val="0"/>
                <w:sz w:val="24"/>
                <w:szCs w:val="24"/>
                <w:lang w:val="en-US" w:eastAsia="zh-CN" w:bidi="ar-SA"/>
              </w:rPr>
              <w:t>黔江区公办幼儿园建设工程、黔江区义务教育学校布局调整及扩容改造工程、黔江区渝东南职业教育城建设工程、黔江区普通高中基础办学条件改善工程、黔江区天立国际学校建设项目、黔江区渝东南教师进修学院建设工程、黔江区渝东南职业农民培训学院、重庆武陵山中医药学院（暂定名）、黔江区武陵高级中学</w:t>
            </w:r>
            <w:r>
              <w:rPr>
                <w:rStyle w:val="8"/>
                <w:rFonts w:ascii="Times New Roman" w:hAnsi="Times New Roman" w:eastAsia="方正仿宋_GBK"/>
                <w:b w:val="0"/>
                <w:i w:val="0"/>
                <w:caps w:val="0"/>
                <w:color w:val="000000"/>
                <w:spacing w:val="-4"/>
                <w:w w:val="100"/>
                <w:kern w:val="0"/>
                <w:sz w:val="24"/>
                <w:szCs w:val="24"/>
                <w:lang w:val="en-US" w:eastAsia="zh-CN" w:bidi="ar-SA"/>
              </w:rPr>
              <w:t>。</w:t>
            </w: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53" w:name="_Toc1660_WPSOffice_Level2"/>
      <w:r>
        <w:rPr>
          <w:rStyle w:val="8"/>
          <w:rFonts w:ascii="Times New Roman" w:hAnsi="Times New Roman" w:eastAsia="方正楷体_GBK"/>
          <w:b w:val="0"/>
          <w:i w:val="0"/>
          <w:caps w:val="0"/>
          <w:color w:val="000000"/>
          <w:spacing w:val="0"/>
          <w:w w:val="100"/>
          <w:kern w:val="2"/>
          <w:sz w:val="32"/>
          <w:szCs w:val="32"/>
          <w:lang w:val="en-US" w:eastAsia="zh-CN" w:bidi="ar-SA"/>
        </w:rPr>
        <w:t>（二）创新发展新兴服务业</w:t>
      </w:r>
      <w:bookmarkEnd w:id="53"/>
    </w:p>
    <w:p>
      <w:pPr>
        <w:pStyle w:val="1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240" w:lineRule="auto"/>
        <w:ind w:left="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0"/>
          <w:sz w:val="32"/>
          <w:szCs w:val="32"/>
          <w:lang w:val="en-US" w:eastAsia="zh-CN"/>
        </w:rPr>
        <w:t>1.现代商贸服务。</w:t>
      </w:r>
      <w:r>
        <w:rPr>
          <w:rStyle w:val="8"/>
          <w:rFonts w:ascii="Times New Roman" w:hAnsi="Times New Roman" w:eastAsia="方正仿宋_GBK"/>
          <w:b w:val="0"/>
          <w:bCs w:val="0"/>
          <w:i w:val="0"/>
          <w:caps w:val="0"/>
          <w:color w:val="000000"/>
          <w:spacing w:val="0"/>
          <w:w w:val="100"/>
          <w:kern w:val="2"/>
          <w:sz w:val="32"/>
          <w:szCs w:val="32"/>
          <w:lang w:val="en-US" w:eastAsia="zh-CN" w:bidi="ar-SA"/>
        </w:rPr>
        <w:t>深入实施商贸转型升级发展战略，促进线上线下融合发展，推动商业业态创新，积极培育新消费新供给，构建差异化、特色化、便利化的现代商贸服务体系，全面提升商贸服务业发展质量和效益。鼓励运用大数据、云计算、移动互联网等现代信息技术，建设智慧商圈，促进商旅文体等跨界融合，形成更多流通新平台、新业态、新模式，支持线下经营实体加快新理念、新技术、新设计改造提升，向场景化、体验式、互动性、综合型消费场所转型，打造区域消费中心城市。到2025年，社会消费品零售总额达到180亿元，商品销售总额达到370亿元，基本建成渝东南商贸服务经济中心。</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完善商贸网络布局。完善商业网点建设与优化布局，着力培育老城区核心商圈和正阳新城核心商圈“双核心”区域级商圈；大力发展城西购物中心等城市商业综合体；快速形成黔江吉之汇国际农贸物流城、武陵山商贸批发城等专业市场；加快推进民族风情城、伴山国际夜市等特色商业街建设；拓展完善社区便民商圈功能。</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——促进商贸模式创新。</w:t>
      </w:r>
      <w:r>
        <w:rPr>
          <w:rStyle w:val="8"/>
          <w:rFonts w:ascii="Times New Roman" w:hAnsi="Times New Roman" w:eastAsia="方正仿宋_GBK"/>
          <w:b w:val="0"/>
          <w:i w:val="0"/>
          <w:caps w:val="0"/>
          <w:color w:val="000000"/>
          <w:spacing w:val="-4"/>
          <w:w w:val="100"/>
          <w:kern w:val="2"/>
          <w:sz w:val="32"/>
          <w:szCs w:val="32"/>
          <w:lang w:val="en-US" w:eastAsia="zh-CN" w:bidi="ar-SA"/>
        </w:rPr>
        <w:t>推动批发业转型发展，建设现货交易与电子交易相结合，集产品交易、信息发布、电子商务、物流仓储功能于一体的新型专业批发市场。鼓励运用大数据、云计算、移动互联网等现代信息技术，促进商旅文体等跨界融合，形成更多流通新平台、新业态、新模式，支持线下经营实体加快新理念、新技术、新设计改造提升，向场景化、体验式、互动性、综合型消费场所转型。</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积极拓展新兴消费。鼓励商贸与其他产业融合发展，创新消费模式与服务方式，抢占区域消费市场，发展首店经济、夜间经济。加强商贸与文化、旅游的深度融合，拓展体验消费。创新发展数字内容产品服务，全面提升智能终端产品的供给能力，促进信息消费。积极推广满足老年人基本需求与深层次需求的服务模式与产品，开拓银色消费。</w:t>
      </w:r>
    </w:p>
    <w:p>
      <w:pPr>
        <w:pStyle w:val="18"/>
        <w:keepNext w:val="0"/>
        <w:keepLines w:val="0"/>
        <w:pageBreakBefore w:val="0"/>
        <w:widowControl w:val="0"/>
        <w:numPr>
          <w:ilvl w:val="0"/>
          <w:numId w:val="9"/>
        </w:numPr>
        <w:shd w:val="clear" w:color="auto" w:fill="FFFFFF"/>
        <w:kinsoku/>
        <w:wordWrap/>
        <w:overflowPunct/>
        <w:topLinePunct w:val="0"/>
        <w:autoSpaceDE/>
        <w:autoSpaceDN/>
        <w:bidi w:val="0"/>
        <w:adjustRightInd/>
        <w:snapToGrid/>
        <w:spacing w:before="0" w:beforeAutospacing="0" w:after="0" w:afterAutospacing="0" w:line="240" w:lineRule="auto"/>
        <w:ind w:left="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0"/>
          <w:sz w:val="32"/>
          <w:szCs w:val="32"/>
          <w:lang w:val="en-US" w:eastAsia="zh-CN"/>
        </w:rPr>
        <w:t>软件与信息服务。</w:t>
      </w:r>
      <w:r>
        <w:rPr>
          <w:rStyle w:val="8"/>
          <w:rFonts w:ascii="Times New Roman" w:hAnsi="Times New Roman" w:eastAsia="方正仿宋_GBK"/>
          <w:b w:val="0"/>
          <w:bCs w:val="0"/>
          <w:i w:val="0"/>
          <w:caps w:val="0"/>
          <w:color w:val="000000"/>
          <w:spacing w:val="0"/>
          <w:w w:val="100"/>
          <w:kern w:val="2"/>
          <w:sz w:val="32"/>
          <w:szCs w:val="32"/>
          <w:lang w:val="en-US" w:eastAsia="zh-CN" w:bidi="ar-SA"/>
        </w:rPr>
        <w:t>打造“渝东南新一代信息技术服务中心”，聚焦前沿信息服务，运用前沿信息技术优化企业管理方式、改造生产模式，提升传统产业，融入信息服务带来智慧生活。力争引进具有较大规模的软件及信息技术服务业企业落户我区，培育龙头型、成长型、创新型软件企业，推动软件产业集约发展。服务渝东南客群，为渝东南企业改造升级提供信息技术支撑，为渝东南居民带来更加便捷的生活服务。促进区域深入推进高水平两化融合，发展智能制造产业，构建渝东南的智慧城市群。到2025年，力争实现软件与信息技术服务行业主营业务收入突破5亿元，培育1-2家软件与信息服务龙头企业，信息产业基地在渝东南形成较大影响力，力争成为市级信息服务集聚区，涌现出一批掌握大数据、云计算、物联网、人工智能核心关键技术的信息服务企业，极大促进渝东南地区生产、生活的智慧化升级。</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夯实信息服务发展基础。建设信息服务基地，加快5G网络、数据中心等新型基础设施建设进度，丰富企业办公、休闲服务、娱乐体验、会议酒店、商业配套等业态，集聚软件开发企业、信息服务企业及数字内容企业。完善前沿信息基础设施，加强与相关通信企业重庆分公司的合作，打造泛在化的信息网络基础设施，部署高速光纤网络，争取提供1000兆比特（1000Mbps）以上接入服务，加快部署互联网协议第六版（IPV6）；部署新一代无线宽带网，紧盯第五代移动通信商用机遇，加快5G部署步伐，在公共区域推广免费高速无线局域网；加快部署下一代广播电视网，加快有线电视网络智能化升级改造，推动数字电视与互联网融合创新。</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推进智慧城市建设。以重庆建设智慧城市为契机，以“跨界整合、平台建设”为方向，以中国华录黔江数据湖科技园建设为基础，完善基础设施及应用平台建设。吸引软件与信息服务企业入驻黔江，运用云计算、物联网、人工智能等新技术，建设先进的交通感知、环境感知、视频感知等智慧城市基础设施。搭建黔江区城市数智中枢和黔江区智慧城市运行指挥中心，整合交通、环保、教育、旅游等各部门数据资源，推动数据汇聚、共享、开放、应用等。推进智慧城市在民生服务、产业发展、城市治理三大重点领域的应用。充分发挥黔江区教育优势，构建智慧教育板块，带动民生服务智慧化；推动智慧城市系统与农业、制造业和服务业深度融合，实现产业升级发展；围绕黔江安全、环保、城管等城市治理需求，推进城市治理智慧化，拓宽智慧城市服务企业市场空间。</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全面构建智慧产业。以“互联网+”为抓手，促进信息服务与相关产业跨界融合，提升产业发展质效。深度推进“互联网+现代物流”，打造区域智慧物流服务平台，强化物流平台与本地产业的结合度，提升仓储、运输的智慧化水平。加快推进“互联网+文化产业”，依托黔江区全域旅游发展，搭建覆盖渝东南的智慧旅游平台，提升智慧旅游发展水平，推动文化产品的生产、传播、表现、消费等价值链各环节应用信息技术，促进文化产业跨越式发展。大力实施“互联网+健康服务”，完善远程医疗服务体系，实现远程会诊、电子病历、网络预约、一键抓药、移动支付。创新发展“互联网+科技服务”，建设区域研发创新、科技推广服务平台。前沿性推进“互联网+智能制造”，推动企业研发设计、生产制造、经营管理、市场营销等价值链各环节融入信息化，夯实智能制造的微观基础。</w:t>
      </w:r>
    </w:p>
    <w:p>
      <w:pPr>
        <w:pStyle w:val="18"/>
        <w:keepNext w:val="0"/>
        <w:keepLines w:val="0"/>
        <w:pageBreakBefore w:val="0"/>
        <w:widowControl w:val="0"/>
        <w:numPr>
          <w:ilvl w:val="0"/>
          <w:numId w:val="9"/>
        </w:numP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0"/>
          <w:sz w:val="32"/>
          <w:szCs w:val="32"/>
          <w:lang w:val="en-US" w:eastAsia="zh-CN"/>
        </w:rPr>
        <w:t>会展服务。</w:t>
      </w:r>
      <w:r>
        <w:rPr>
          <w:rStyle w:val="8"/>
          <w:rFonts w:ascii="Times New Roman" w:hAnsi="Times New Roman" w:eastAsia="方正仿宋_GBK"/>
          <w:b w:val="0"/>
          <w:bCs w:val="0"/>
          <w:i w:val="0"/>
          <w:caps w:val="0"/>
          <w:color w:val="000000"/>
          <w:spacing w:val="0"/>
          <w:w w:val="100"/>
          <w:kern w:val="2"/>
          <w:sz w:val="32"/>
          <w:szCs w:val="32"/>
          <w:lang w:val="en-US" w:eastAsia="zh-CN" w:bidi="ar-SA"/>
        </w:rPr>
        <w:t>打造一批会展业高端平台，提升一批生产性、生活性会展服务重点项目。鼓励全区会展企业向规模化、集团化发展，大力引进知名会展策划、主办、服务企业。</w:t>
      </w:r>
      <w:r>
        <w:rPr>
          <w:rStyle w:val="8"/>
          <w:rFonts w:ascii="Times New Roman" w:hAnsi="Times New Roman" w:eastAsia="方正仿宋_GBK"/>
          <w:b w:val="0"/>
          <w:i w:val="0"/>
          <w:caps w:val="0"/>
          <w:color w:val="000000"/>
          <w:spacing w:val="0"/>
          <w:w w:val="100"/>
          <w:kern w:val="0"/>
          <w:sz w:val="32"/>
          <w:szCs w:val="32"/>
          <w:lang w:val="en-US" w:eastAsia="zh-CN"/>
        </w:rPr>
        <w:t>依托区域性专业市场和渝东南会展中心，打造武陵山区商业商务集聚区和会展经济中心，</w:t>
      </w:r>
      <w:r>
        <w:rPr>
          <w:rStyle w:val="8"/>
          <w:rFonts w:ascii="Times New Roman" w:hAnsi="Times New Roman" w:eastAsia="方正仿宋_GBK"/>
          <w:b w:val="0"/>
          <w:bCs w:val="0"/>
          <w:i w:val="0"/>
          <w:caps w:val="0"/>
          <w:color w:val="000000"/>
          <w:spacing w:val="0"/>
          <w:w w:val="100"/>
          <w:kern w:val="2"/>
          <w:sz w:val="32"/>
          <w:szCs w:val="32"/>
          <w:lang w:val="en-US" w:eastAsia="zh-CN" w:bidi="ar-SA"/>
        </w:rPr>
        <w:t>形成集展览、会议、食宿、购物、商务、文化休闲等功能于一体的城市新型会展商务区。依托10余个区域性专业市场和渝东南会展中心等设施，做大“武陵山国际民宿旅游文化节”、“中国黔江鸡杂美食文化节”“渝东南家居博览会”等地方展销展会品牌，努力承接国、市展销展会，建设区域性会展经济中心。到2025年，培育规模以上会展企业2家以上，会展服务业营业收入40亿元。</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大力发展文化会展业。引进会展专业人才，建立会展中介机构，培育发展市场主体。大力发展以武陵山国际民宿旅游文化节等为代表的节庆会展业。围绕已有的特色优势产业举办会展项目，形成会展品牌，在传统市场基础上，发展专业会展功能。要把活动经济作为文化旅游产业新的增长点来抓。会展、体育赛事、节庆等活动经济能够带动休闲旅游和城市经济的其他消费。黔江是经济发展快速和传统旅游资源比较丰富的地区，发展活动经济具有得天独厚的优势。</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提升节庆活动影响。继续办好“重庆黔江•武陵山国际民俗文化旅游节”、“中国黔江鸡杂美食文化节”“渝东南家居博览会”等节庆活动。学习借鉴国内外先进经验，在地域特色上下功夫，不断丰富节庆会展活动内涵，积极开发节庆会展衍生产品，推动节庆会展与城市经济发展，与旅游产业发展结合，延伸产业链和提升附加值，广泛吸引大众参与，努力把会展活动办成“城市的名片、企业的盛会、招商的平台、市民的节日”。</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创新节庆会展模式。按照产业化、市场化模式，强力推进节庆会展产品创新、运作模式创新、招展招会创新、服务方式创新，大力发展纯商业型节庆会展活动。政府牵头主办的节庆会展活动，也要注重成本核算与经营管理，建立“投资—回报”机制，采取冠名权出让、承办经营权招标等方式，落实举办节庆会展活动的市场主体和资金，充分挖掘广告、票务等资源价值，获取最大的社会效益和经济效益。</w:t>
      </w:r>
    </w:p>
    <w:p>
      <w:pPr>
        <w:pStyle w:val="18"/>
        <w:keepNext w:val="0"/>
        <w:keepLines w:val="0"/>
        <w:pageBreakBefore w:val="0"/>
        <w:widowControl w:val="0"/>
        <w:numPr>
          <w:ilvl w:val="0"/>
          <w:numId w:val="9"/>
        </w:numPr>
        <w:shd w:val="clear" w:color="auto" w:fill="FFFFFF"/>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left"/>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0"/>
          <w:sz w:val="32"/>
          <w:szCs w:val="32"/>
          <w:lang w:val="en-US" w:eastAsia="zh-CN"/>
        </w:rPr>
        <w:t>电子商务。</w:t>
      </w:r>
      <w:r>
        <w:rPr>
          <w:rStyle w:val="8"/>
          <w:rFonts w:ascii="Times New Roman" w:hAnsi="Times New Roman" w:eastAsia="方正仿宋_GBK"/>
          <w:b w:val="0"/>
          <w:bCs w:val="0"/>
          <w:i w:val="0"/>
          <w:caps w:val="0"/>
          <w:color w:val="000000"/>
          <w:spacing w:val="0"/>
          <w:w w:val="100"/>
          <w:kern w:val="2"/>
          <w:sz w:val="32"/>
          <w:szCs w:val="32"/>
          <w:lang w:val="en-US" w:eastAsia="zh-CN" w:bidi="ar-SA"/>
        </w:rPr>
        <w:t>提升发展传统网络零售，培育发展跨境电商、生活服务电商、工业电商、电商服务等电商新业态，力争打造“渝东南电子商务创新基地”。招引国内电子商务企业在黔拓展业务，培育发展本地电子商务平台和龙头企业。优化升级农村电子商务，开展电子商务进农村综合示范，发展农资农产品端到端配送供应新模式，实施“互联网+”农产品出村进城工程，持续实施电子商务扶贫行动。到2025年，全区网络零售额年均增长10%，力争培育跨境电子商务企业1-2家，力争实现跨境电子商务交易额500万美元，</w:t>
      </w:r>
      <w:r>
        <w:rPr>
          <w:rStyle w:val="8"/>
          <w:rFonts w:ascii="Times New Roman" w:hAnsi="Times New Roman" w:eastAsia="方正仿宋_GBK"/>
          <w:b w:val="0"/>
          <w:i w:val="0"/>
          <w:caps w:val="0"/>
          <w:color w:val="000000"/>
          <w:spacing w:val="-11"/>
          <w:w w:val="100"/>
          <w:kern w:val="0"/>
          <w:sz w:val="32"/>
          <w:szCs w:val="32"/>
          <w:lang w:val="en-US" w:eastAsia="zh-CN"/>
        </w:rPr>
        <w:t>基本建成</w:t>
      </w:r>
      <w:r>
        <w:rPr>
          <w:rStyle w:val="8"/>
          <w:rFonts w:ascii="Times New Roman" w:hAnsi="Times New Roman" w:eastAsia="方正仿宋_GBK"/>
          <w:b w:val="0"/>
          <w:i w:val="0"/>
          <w:caps w:val="0"/>
          <w:color w:val="000000"/>
          <w:spacing w:val="0"/>
          <w:w w:val="100"/>
          <w:kern w:val="0"/>
          <w:sz w:val="32"/>
          <w:szCs w:val="32"/>
          <w:lang w:val="en-US" w:eastAsia="zh-CN"/>
        </w:rPr>
        <w:t>国家电子商务示范区</w:t>
      </w:r>
      <w:r>
        <w:rPr>
          <w:rStyle w:val="8"/>
          <w:rFonts w:ascii="Times New Roman" w:hAnsi="Times New Roman" w:eastAsia="方正仿宋_GBK"/>
          <w:b w:val="0"/>
          <w:bCs w:val="0"/>
          <w:i w:val="0"/>
          <w:caps w:val="0"/>
          <w:color w:val="000000"/>
          <w:spacing w:val="0"/>
          <w:w w:val="10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提升传统电商发展水平。做强网络零售电商龙头，重点支持具备成长潜力的电商企业做大规模、做强品牌；扶持中小型电商企业发展差异化领域、提升运营效率，推动本地中小电商企业接轨电商新模式、新做法；依托电商龙头构建电商产业协作平台，为中小企业提供店铺装修、商品展示、美工等运营辅助服务。重点支持“山韵黔江”区域公共品牌，“凤舞白石”“塞上邻鄂”“云上水市”等乡镇类品牌及“中国脆红李之乡”“中国猕猴桃之乡”等地标品牌升级，整合周边区县电商平台，构建区域性农产品电商综合服务平台。大力吸引电商企业落户，着力引进国内知名企业建立区域性交易平台；推动电商技术服务升级，重点引进黔江区电商发展急需的支付、安全、信用等第三方电商专业服务商，构建电子商务服务体系。</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大力培育电商新业态。社区O2O。引进社区电商企业，整合日用品购物、餐饮、生活缴费、家政、就业等服务资源，构建便民电子商务服务体系。在线旅游。引入携程、去哪儿等龙头在线旅游企业在黔江区设立区域性服务总部，推广电子门票、电子支付、移动支付在旅游服务中的应用。探索“云旅游”模式，建设数字孪生景区，打造沉浸式全景在线旅游产品。跨境电商。充分利用好黔江海关优势，建设跨境电子商务产业园，吸引运作规范的跨境电商企业及其产业链上下游企业落户。电商服务。加快培育一批本地电商服务企业，发展信息处理、数据托管、应用系统开发、电子商务咨询、代运营、培训、摄影、设计等专业化外包服务；引进一批集报关、退税、国际物流、海外仓储、汇兑服务于一体的跨境电商服务企业，为跨境电商提供支撑服务。工业电商。立足黔江区工业发展，推动新材料、纺织、食品等行业电商平台建设，为上下游企业提供在线交易，发挥电商引导生产作用，发展以销定产和个性化定制等新型生产方式。</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right="0" w:righ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完善电商发展配套。加强电商物流配送体系建设，支持电商企业与物流快递企业加强合作，鼓励快递企业探索“仓储一体化”等新型配送模式，为电商提供仓储、包装、分销、配送一条龙服务；依托涪陵综合保税区，着力发展跨境电商物流，打造区域性新型跨境电商物流中心，着力培育和引进一批高端跨境物流企业。加快形成由政府、协会、企业、培训机构、高校院所为主体的电商人才培训体系；建立政府、企业、院校间的人才直接供求机制，为企业与院校搭建人才交流平台；依托人力资源市场，建立电子商务人才资源供需交流配置平台。</w:t>
      </w:r>
    </w:p>
    <w:p>
      <w:pPr>
        <w:pStyle w:val="19"/>
        <w:snapToGrid/>
        <w:spacing w:before="0" w:beforeAutospacing="0" w:after="0" w:afterAutospacing="0" w:line="240" w:lineRule="auto"/>
        <w:ind w:left="316" w:leftChars="100" w:right="320" w:firstLine="420"/>
        <w:jc w:val="center"/>
        <w:textAlignment w:val="baseline"/>
        <w:rPr>
          <w:rStyle w:val="8"/>
          <w:rFonts w:ascii="Times New Roman" w:hAnsi="Times New Roman" w:eastAsia="方正黑体_GBK"/>
          <w:b w:val="0"/>
          <w:i w:val="0"/>
          <w:caps w:val="0"/>
          <w:color w:val="000000"/>
          <w:spacing w:val="0"/>
          <w:w w:val="100"/>
          <w:sz w:val="30"/>
          <w:szCs w:val="30"/>
          <w:lang w:val="en-US" w:eastAsia="zh-CN"/>
        </w:rPr>
      </w:pPr>
      <w:bookmarkStart w:id="54" w:name="_Toc177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2</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新兴服务业重点建设项目</w:t>
      </w:r>
      <w:bookmarkEnd w:id="54"/>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PrEx>
        <w:trPr>
          <w:jc w:val="center"/>
        </w:trPr>
        <w:tc>
          <w:tcPr>
            <w:tcW w:w="8951" w:type="dxa"/>
            <w:tcBorders>
              <w:top w:val="single" w:color="000000" w:sz="12" w:space="0"/>
              <w:left w:val="single" w:color="000000" w:sz="12" w:space="0"/>
              <w:bottom w:val="single" w:color="000000" w:sz="12" w:space="0"/>
              <w:right w:val="single" w:color="000000" w:sz="12" w:space="0"/>
            </w:tcBorders>
            <w:vAlign w:val="top"/>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现代商贸服务：</w:t>
            </w:r>
            <w:r>
              <w:rPr>
                <w:rStyle w:val="8"/>
                <w:rFonts w:ascii="Times New Roman" w:hAnsi="Times New Roman" w:eastAsia="方正仿宋_GBK"/>
                <w:b w:val="0"/>
                <w:i w:val="0"/>
                <w:caps w:val="0"/>
                <w:color w:val="000000"/>
                <w:spacing w:val="-4"/>
                <w:w w:val="100"/>
                <w:kern w:val="0"/>
                <w:sz w:val="24"/>
                <w:szCs w:val="24"/>
                <w:lang w:val="en-US" w:eastAsia="zh-CN" w:bidi="ar-SA"/>
              </w:rPr>
              <w:t>黔江区城南副商业中心、黔江区城西购物中心、黔江区奥特莱斯购物中心、黔江区东轮汽车交易市场改造项目、黔江区新城智慧农贸市场、黔江区渝东南农产品批发交易中心、万莎奥特莱斯黔江购物中心、星级酒店建设项目。</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软件与信息服务：</w:t>
            </w:r>
            <w:r>
              <w:rPr>
                <w:rStyle w:val="8"/>
                <w:rFonts w:ascii="Times New Roman" w:hAnsi="Times New Roman" w:eastAsia="方正仿宋_GBK"/>
                <w:b w:val="0"/>
                <w:i w:val="0"/>
                <w:caps w:val="0"/>
                <w:color w:val="000000"/>
                <w:spacing w:val="-4"/>
                <w:w w:val="100"/>
                <w:kern w:val="0"/>
                <w:sz w:val="24"/>
                <w:szCs w:val="24"/>
                <w:lang w:val="en-US" w:eastAsia="zh-CN" w:bidi="ar-SA"/>
              </w:rPr>
              <w:t>黔江区旅游景区大数据指挥中心（二期）、智慧商城、重庆数据中心渝东南存储分中心、重庆水土数据中心异地灾备中心。</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会展服务：</w:t>
            </w:r>
            <w:r>
              <w:rPr>
                <w:rStyle w:val="8"/>
                <w:rFonts w:ascii="Times New Roman" w:hAnsi="Times New Roman" w:eastAsia="方正仿宋_GBK"/>
                <w:b w:val="0"/>
                <w:i w:val="0"/>
                <w:caps w:val="0"/>
                <w:color w:val="000000"/>
                <w:spacing w:val="-4"/>
                <w:w w:val="100"/>
                <w:kern w:val="0"/>
                <w:sz w:val="24"/>
                <w:szCs w:val="24"/>
                <w:lang w:val="en-US" w:eastAsia="zh-CN" w:bidi="ar-SA"/>
              </w:rPr>
              <w:t>渝东南会展中心建设项目</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书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电子商务：</w:t>
            </w:r>
            <w:r>
              <w:rPr>
                <w:rStyle w:val="8"/>
                <w:rFonts w:ascii="Times New Roman" w:hAnsi="Times New Roman" w:eastAsia="方正仿宋_GBK"/>
                <w:b w:val="0"/>
                <w:i w:val="0"/>
                <w:caps w:val="0"/>
                <w:color w:val="000000"/>
                <w:spacing w:val="-4"/>
                <w:w w:val="100"/>
                <w:kern w:val="0"/>
                <w:sz w:val="24"/>
                <w:szCs w:val="24"/>
                <w:lang w:val="en-US" w:eastAsia="zh-CN" w:bidi="ar-SA"/>
              </w:rPr>
              <w:t>黔江区电子商务进农村升级版。</w:t>
            </w:r>
          </w:p>
        </w:tc>
      </w:tr>
    </w:tbl>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32" w:firstLineChars="200"/>
        <w:jc w:val="both"/>
        <w:textAlignment w:val="baseline"/>
        <w:rPr>
          <w:rStyle w:val="8"/>
          <w:rFonts w:ascii="Times New Roman" w:hAnsi="Times New Roman" w:eastAsia="方正楷体_GBK"/>
          <w:b w:val="0"/>
          <w:i w:val="0"/>
          <w:caps w:val="0"/>
          <w:color w:val="000000"/>
          <w:spacing w:val="0"/>
          <w:w w:val="100"/>
          <w:kern w:val="2"/>
          <w:sz w:val="32"/>
          <w:lang w:val="en-US" w:eastAsia="zh-CN" w:bidi="ar-SA"/>
        </w:rPr>
      </w:pPr>
      <w:bookmarkStart w:id="55" w:name="_Toc11347_WPSOffice_Level2"/>
      <w:r>
        <w:rPr>
          <w:rStyle w:val="8"/>
          <w:rFonts w:ascii="Times New Roman" w:hAnsi="Times New Roman" w:eastAsia="方正楷体_GBK"/>
          <w:b w:val="0"/>
          <w:i w:val="0"/>
          <w:caps w:val="0"/>
          <w:color w:val="000000"/>
          <w:spacing w:val="0"/>
          <w:w w:val="100"/>
          <w:kern w:val="2"/>
          <w:sz w:val="32"/>
          <w:lang w:val="en-US" w:eastAsia="zh-CN" w:bidi="ar-SA"/>
        </w:rPr>
        <w:t>（三）培育发展其他服务业</w:t>
      </w:r>
      <w:bookmarkEnd w:id="55"/>
    </w:p>
    <w:p>
      <w:pPr>
        <w:pStyle w:val="1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240" w:lineRule="auto"/>
        <w:ind w:left="0" w:right="0" w:firstLine="632" w:firstLineChars="200"/>
        <w:jc w:val="both"/>
        <w:textAlignment w:val="baseline"/>
        <w:rPr>
          <w:rStyle w:val="8"/>
          <w:rFonts w:ascii="Times New Roman" w:hAnsi="Times New Roman" w:eastAsia="方正仿宋_GBK"/>
          <w:b w:val="0"/>
          <w:i w:val="0"/>
          <w:caps w:val="0"/>
          <w:color w:val="000000"/>
          <w:spacing w:val="0"/>
          <w:w w:val="100"/>
          <w:kern w:val="0"/>
          <w:sz w:val="32"/>
          <w:szCs w:val="32"/>
          <w:lang w:val="en-US" w:eastAsia="zh-CN"/>
        </w:rPr>
      </w:pPr>
      <w:r>
        <w:rPr>
          <w:rStyle w:val="8"/>
          <w:rFonts w:ascii="Times New Roman" w:hAnsi="Times New Roman" w:eastAsia="方正楷体_GBK"/>
          <w:b w:val="0"/>
          <w:i w:val="0"/>
          <w:caps w:val="0"/>
          <w:color w:val="000000"/>
          <w:spacing w:val="0"/>
          <w:w w:val="100"/>
          <w:kern w:val="0"/>
          <w:sz w:val="32"/>
          <w:szCs w:val="32"/>
          <w:lang w:val="en-US" w:eastAsia="zh-CN"/>
        </w:rPr>
        <w:t>1.现代金融。</w:t>
      </w:r>
      <w:r>
        <w:rPr>
          <w:rStyle w:val="8"/>
          <w:rFonts w:ascii="Times New Roman" w:hAnsi="Times New Roman" w:eastAsia="方正仿宋_GBK"/>
          <w:b w:val="0"/>
          <w:i w:val="0"/>
          <w:caps w:val="0"/>
          <w:color w:val="000000"/>
          <w:spacing w:val="0"/>
          <w:w w:val="100"/>
          <w:kern w:val="0"/>
          <w:sz w:val="32"/>
          <w:szCs w:val="32"/>
          <w:lang w:val="en-US" w:eastAsia="zh-CN"/>
        </w:rPr>
        <w:t>加快建设渝东南金融中心。立足金融业发展基础，大力发展绿色金融、消费金融、贸易金融、普惠金融、金融科技等，完善新城金融机构布局，积极支持新引进金融机构落户新城，引导现有在黔金融机构在新城布局营业网点。到2025年，金融支柱产业地位持续加强，银行业信贷增速同经济增速基本匹配。</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——完善金融体系。</w:t>
      </w:r>
      <w:r>
        <w:rPr>
          <w:rStyle w:val="8"/>
          <w:rFonts w:ascii="Times New Roman" w:hAnsi="Times New Roman" w:eastAsia="方正仿宋_GBK"/>
          <w:b w:val="0"/>
          <w:i w:val="0"/>
          <w:caps w:val="0"/>
          <w:color w:val="000000"/>
          <w:spacing w:val="0"/>
          <w:w w:val="100"/>
          <w:kern w:val="2"/>
          <w:sz w:val="32"/>
          <w:szCs w:val="32"/>
          <w:lang w:val="en-US" w:eastAsia="zh-CN" w:bidi="ar-SA"/>
        </w:rPr>
        <w:t>筹备组建武陵山绿色生态科技银行，推动3家地方性法人银行支行升级为二级分行，新引进2家银行分支机构落户。提升运用多层次资本市场能力，培育上市公司3家以上，重庆OTC挂牌企业60家以上。优化普惠金融发展环境，推进“1+2+N普惠金融服务到村”实现行政村全覆盖，打造普惠金融试点。</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——创新金融业态。</w:t>
      </w:r>
      <w:r>
        <w:rPr>
          <w:rStyle w:val="8"/>
          <w:rFonts w:ascii="Times New Roman" w:hAnsi="Times New Roman" w:eastAsia="方正仿宋_GBK"/>
          <w:b w:val="0"/>
          <w:bCs w:val="0"/>
          <w:i w:val="0"/>
          <w:caps w:val="0"/>
          <w:spacing w:val="0"/>
          <w:w w:val="100"/>
          <w:kern w:val="2"/>
          <w:sz w:val="32"/>
          <w:szCs w:val="32"/>
          <w:lang w:val="en-US" w:eastAsia="zh-CN" w:bidi="ar-SA"/>
        </w:rPr>
        <w:t>积极引进和培育新型金融机构，构建更加多元的绿色金融机构体系。大力发展商业养老保险。积极推动区域金融改革创新，成为重庆绿色金融改革试验区的重点区，重庆金融科技赋能乡村振兴试点重点区和数字化常态化融资对接平台试点。打击各种逃废债行为，营造良好金融生态。</w:t>
      </w:r>
    </w:p>
    <w:p>
      <w:pPr>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spacing w:val="0"/>
          <w:w w:val="100"/>
          <w:kern w:val="2"/>
          <w:sz w:val="32"/>
          <w:lang w:val="en-US" w:eastAsia="zh-CN" w:bidi="ar-SA"/>
        </w:rPr>
      </w:pPr>
      <w:r>
        <w:rPr>
          <w:rStyle w:val="8"/>
          <w:rFonts w:ascii="Times New Roman" w:hAnsi="Times New Roman" w:eastAsia="方正仿宋_GBK"/>
          <w:b w:val="0"/>
          <w:bCs w:val="0"/>
          <w:i w:val="0"/>
          <w:caps w:val="0"/>
          <w:color w:val="000000"/>
          <w:spacing w:val="0"/>
          <w:w w:val="100"/>
          <w:kern w:val="2"/>
          <w:sz w:val="32"/>
          <w:szCs w:val="32"/>
          <w:lang w:val="en-US" w:eastAsia="zh-CN" w:bidi="ar-SA"/>
        </w:rPr>
        <w:t>——</w:t>
      </w:r>
      <w:r>
        <w:rPr>
          <w:rStyle w:val="8"/>
          <w:rFonts w:ascii="Times New Roman" w:hAnsi="Times New Roman" w:eastAsia="方正仿宋_GBK"/>
          <w:b w:val="0"/>
          <w:i w:val="0"/>
          <w:caps w:val="0"/>
          <w:color w:val="000000"/>
          <w:spacing w:val="0"/>
          <w:w w:val="100"/>
          <w:kern w:val="2"/>
          <w:sz w:val="32"/>
          <w:szCs w:val="32"/>
          <w:lang w:val="en-US" w:eastAsia="zh-CN" w:bidi="ar-SA"/>
        </w:rPr>
        <w:t>扩大金融开放。</w:t>
      </w:r>
      <w:r>
        <w:rPr>
          <w:rStyle w:val="8"/>
          <w:rFonts w:ascii="Times New Roman" w:hAnsi="Times New Roman" w:eastAsia="方正仿宋_GBK"/>
          <w:b w:val="0"/>
          <w:bCs w:val="0"/>
          <w:i w:val="0"/>
          <w:caps w:val="0"/>
          <w:spacing w:val="0"/>
          <w:w w:val="100"/>
          <w:kern w:val="2"/>
          <w:sz w:val="32"/>
          <w:szCs w:val="32"/>
          <w:lang w:val="en-US" w:eastAsia="zh-CN" w:bidi="ar-SA"/>
        </w:rPr>
        <w:t>努力提升科技金融含量，吸引全国行业性龙头企业来黔设立科技金融服务机构。争取设立产业引导基金农旅子基金，专项支持渝东南武陵山区城镇群农旅类产业发展。扩大农业保险覆盖面，深入开展生猪、粮食等政策性农业保险，完善蚕桑收益保险办法。</w:t>
      </w:r>
    </w:p>
    <w:p>
      <w:pPr>
        <w:pStyle w:val="18"/>
        <w:keepNext w:val="0"/>
        <w:keepLines w:val="0"/>
        <w:pageBreakBefore w:val="0"/>
        <w:widowControl w:val="0"/>
        <w:numPr>
          <w:ilvl w:val="0"/>
          <w:numId w:val="10"/>
        </w:numPr>
        <w:shd w:val="clear" w:color="auto" w:fill="FFFFFF"/>
        <w:kinsoku/>
        <w:wordWrap/>
        <w:overflowPunct/>
        <w:topLinePunct w:val="0"/>
        <w:autoSpaceDE/>
        <w:autoSpaceDN/>
        <w:bidi w:val="0"/>
        <w:adjustRightInd/>
        <w:snapToGrid/>
        <w:spacing w:before="0" w:beforeAutospacing="0" w:after="0" w:afterAutospacing="0" w:line="240" w:lineRule="auto"/>
        <w:ind w:left="0" w:right="0" w:firstLine="632" w:firstLineChars="200"/>
        <w:jc w:val="left"/>
        <w:textAlignment w:val="baseline"/>
        <w:rPr>
          <w:rStyle w:val="8"/>
          <w:rFonts w:ascii="Times New Roman" w:hAnsi="Times New Roman" w:eastAsia="方正仿宋_GBK"/>
          <w:b w:val="0"/>
          <w:i w:val="0"/>
          <w:caps w:val="0"/>
          <w:color w:val="000000"/>
          <w:spacing w:val="0"/>
          <w:w w:val="100"/>
          <w:kern w:val="0"/>
          <w:sz w:val="32"/>
          <w:szCs w:val="32"/>
          <w:lang w:val="en-US" w:eastAsia="zh-CN"/>
        </w:rPr>
      </w:pPr>
      <w:r>
        <w:rPr>
          <w:rStyle w:val="8"/>
          <w:rFonts w:ascii="Times New Roman" w:hAnsi="Times New Roman" w:eastAsia="方正楷体_GBK"/>
          <w:b w:val="0"/>
          <w:i w:val="0"/>
          <w:caps w:val="0"/>
          <w:color w:val="000000"/>
          <w:spacing w:val="0"/>
          <w:w w:val="100"/>
          <w:kern w:val="0"/>
          <w:sz w:val="32"/>
          <w:szCs w:val="32"/>
          <w:lang w:val="en-US" w:eastAsia="zh-CN"/>
        </w:rPr>
        <w:t>专业中介服务。</w:t>
      </w:r>
      <w:r>
        <w:rPr>
          <w:rStyle w:val="8"/>
          <w:rFonts w:ascii="Times New Roman" w:hAnsi="Times New Roman" w:eastAsia="方正仿宋_GBK"/>
          <w:b w:val="0"/>
          <w:i w:val="0"/>
          <w:caps w:val="0"/>
          <w:color w:val="000000"/>
          <w:spacing w:val="0"/>
          <w:w w:val="100"/>
          <w:kern w:val="0"/>
          <w:sz w:val="32"/>
          <w:szCs w:val="32"/>
          <w:lang w:val="en-US" w:eastAsia="zh-CN"/>
        </w:rPr>
        <w:t>积极培育安全生产技术、工程咨询、工程设计、管理咨询、工程造价、工程监理、资产评估、会计、审计、税务、知识产权、法律、广告、中介、会展等专业咨询服务机构，引导一般性中介机构向“专精特新”方向发展。打造专业中介服务业聚集区，构建高层次、多门类的专业中介服务体系。支持专业中介服务网络平台聚合专业人才和服务机构，提供“互联网+”定制化解决方案和管家式服务。搭建智能就业综合服务平台，加快发展线上人力资源服务。搭建安全生产技术服务平台，引进安全生产技术服务机构参与安全生产监督管理，建立安全生产社会化服务体系，提高安全生产工作服务水平。到2025年，专业中介服务体系更加完善，服务水平显著提升。</w:t>
      </w:r>
    </w:p>
    <w:p>
      <w:pPr>
        <w:pStyle w:val="18"/>
        <w:keepNext w:val="0"/>
        <w:keepLines w:val="0"/>
        <w:pageBreakBefore w:val="0"/>
        <w:widowControl w:val="0"/>
        <w:numPr>
          <w:ilvl w:val="0"/>
          <w:numId w:val="11"/>
        </w:numPr>
        <w:shd w:val="clear" w:color="auto" w:fill="FFFFFF"/>
        <w:kinsoku/>
        <w:wordWrap/>
        <w:overflowPunct/>
        <w:topLinePunct w:val="0"/>
        <w:autoSpaceDE/>
        <w:autoSpaceDN/>
        <w:bidi w:val="0"/>
        <w:adjustRightInd/>
        <w:snapToGrid/>
        <w:spacing w:before="0" w:beforeAutospacing="0" w:after="0" w:afterAutospacing="0" w:line="240" w:lineRule="auto"/>
        <w:ind w:left="0" w:right="0" w:firstLine="632" w:firstLineChars="200"/>
        <w:jc w:val="left"/>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0"/>
          <w:sz w:val="32"/>
          <w:szCs w:val="32"/>
          <w:lang w:val="en-US" w:eastAsia="zh-CN"/>
        </w:rPr>
        <w:t>社区及家政服务。</w:t>
      </w:r>
      <w:r>
        <w:rPr>
          <w:rStyle w:val="8"/>
          <w:rFonts w:ascii="Times New Roman" w:hAnsi="Times New Roman" w:eastAsia="方正仿宋_GBK"/>
          <w:b w:val="0"/>
          <w:i w:val="0"/>
          <w:caps w:val="0"/>
          <w:color w:val="000000"/>
          <w:spacing w:val="0"/>
          <w:w w:val="100"/>
          <w:kern w:val="0"/>
          <w:sz w:val="32"/>
          <w:szCs w:val="32"/>
          <w:lang w:val="en-US" w:eastAsia="zh-CN"/>
        </w:rPr>
        <w:t>围绕创造高品质生活，加快建立供给充分、服务便捷、管理规范、惠及城乡的居民和家庭服务体系，着力提升居民生活便利化、精细化、品质化水平。提高居民家庭服务行业组织化程度，推进规模经营和网络化发展，发展大型连锁家政公司，扶持培育一批员工制龙头企业，创建一批知名家庭服务品牌。支持社区商业拓展发展（OMO）、精细化定制、“微生活”“云社区”等新兴服务模式。</w:t>
      </w:r>
      <w:r>
        <w:rPr>
          <w:rStyle w:val="8"/>
          <w:rFonts w:ascii="Times New Roman" w:hAnsi="Times New Roman" w:eastAsia="方正仿宋_GBK"/>
          <w:b w:val="0"/>
          <w:bCs w:val="0"/>
          <w:i w:val="0"/>
          <w:caps w:val="0"/>
          <w:color w:val="000000"/>
          <w:spacing w:val="0"/>
          <w:w w:val="100"/>
          <w:kern w:val="2"/>
          <w:sz w:val="32"/>
          <w:szCs w:val="32"/>
          <w:lang w:val="en-US" w:eastAsia="zh-CN" w:bidi="ar-SA"/>
        </w:rPr>
        <w:t>力争2025年，录入商务部家政信用体系平台25家。</w:t>
      </w:r>
    </w:p>
    <w:p>
      <w:pPr>
        <w:pStyle w:val="19"/>
        <w:snapToGrid/>
        <w:spacing w:before="0" w:beforeAutospacing="0" w:after="0" w:afterAutospacing="0" w:line="240" w:lineRule="auto"/>
        <w:ind w:left="316" w:leftChars="100" w:right="320" w:firstLine="420"/>
        <w:jc w:val="center"/>
        <w:textAlignment w:val="baseline"/>
        <w:rPr>
          <w:rStyle w:val="8"/>
          <w:rFonts w:ascii="Times New Roman" w:hAnsi="Times New Roman" w:eastAsia="方正黑体_GBK"/>
          <w:b w:val="0"/>
          <w:i w:val="0"/>
          <w:caps w:val="0"/>
          <w:color w:val="000000"/>
          <w:spacing w:val="0"/>
          <w:w w:val="100"/>
          <w:sz w:val="30"/>
          <w:szCs w:val="30"/>
          <w:lang w:val="en-US" w:eastAsia="zh-CN"/>
        </w:rPr>
      </w:pPr>
      <w:bookmarkStart w:id="56" w:name="_Toc21911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3</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其他服务业重点建设项目</w:t>
      </w:r>
      <w:bookmarkEnd w:id="56"/>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PrEx>
        <w:trPr>
          <w:jc w:val="center"/>
        </w:trPr>
        <w:tc>
          <w:tcPr>
            <w:tcW w:w="8951" w:type="dxa"/>
            <w:tcBorders>
              <w:top w:val="single" w:color="000000" w:sz="12" w:space="0"/>
              <w:left w:val="single" w:color="000000" w:sz="12" w:space="0"/>
              <w:bottom w:val="single" w:color="000000" w:sz="12" w:space="0"/>
              <w:right w:val="single" w:color="000000" w:sz="12" w:space="0"/>
            </w:tcBorders>
            <w:vAlign w:val="top"/>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cs="Times New Roman"/>
                <w:b/>
                <w:bCs/>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现代金融：</w:t>
            </w:r>
            <w:r>
              <w:rPr>
                <w:rStyle w:val="8"/>
                <w:rFonts w:ascii="Times New Roman" w:hAnsi="Times New Roman" w:eastAsia="方正仿宋_GBK"/>
                <w:b w:val="0"/>
                <w:bCs w:val="0"/>
                <w:i w:val="0"/>
                <w:caps w:val="0"/>
                <w:color w:val="000000"/>
                <w:spacing w:val="-4"/>
                <w:w w:val="100"/>
                <w:kern w:val="0"/>
                <w:sz w:val="24"/>
                <w:szCs w:val="24"/>
                <w:lang w:val="en-US" w:eastAsia="zh-CN" w:bidi="ar-SA"/>
              </w:rPr>
              <w:t>渝东南金融服务中心建设项目。</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cs="Times New Roman"/>
                <w:b/>
                <w:bCs/>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专业中介服务：</w:t>
            </w:r>
            <w:r>
              <w:rPr>
                <w:rStyle w:val="8"/>
                <w:rFonts w:ascii="Times New Roman" w:hAnsi="Times New Roman" w:eastAsia="方正仿宋_GBK"/>
                <w:b w:val="0"/>
                <w:bCs w:val="0"/>
                <w:i w:val="0"/>
                <w:caps w:val="0"/>
                <w:color w:val="000000"/>
                <w:spacing w:val="-4"/>
                <w:w w:val="100"/>
                <w:kern w:val="0"/>
                <w:sz w:val="24"/>
                <w:szCs w:val="24"/>
                <w:lang w:val="en-US" w:eastAsia="zh-CN" w:bidi="ar-SA"/>
              </w:rPr>
              <w:t>专业中介服务综合示范区建设项目、安全生产大数据智能平台建设项目。</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书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社区及家政服务：</w:t>
            </w:r>
            <w:r>
              <w:rPr>
                <w:rStyle w:val="8"/>
                <w:rFonts w:ascii="Times New Roman" w:hAnsi="Times New Roman" w:eastAsia="方正仿宋_GBK"/>
                <w:b w:val="0"/>
                <w:bCs w:val="0"/>
                <w:i w:val="0"/>
                <w:caps w:val="0"/>
                <w:color w:val="000000"/>
                <w:spacing w:val="-4"/>
                <w:w w:val="100"/>
                <w:kern w:val="0"/>
                <w:sz w:val="24"/>
                <w:szCs w:val="24"/>
                <w:lang w:val="en-US" w:eastAsia="zh-CN" w:bidi="ar-SA"/>
              </w:rPr>
              <w:t>社会服务管理信息化平台建设项目。</w:t>
            </w:r>
          </w:p>
        </w:tc>
      </w:tr>
    </w:tbl>
    <w:p>
      <w:pPr>
        <w:pStyle w:val="10"/>
        <w:keepLines/>
        <w:numPr>
          <w:ilvl w:val="0"/>
          <w:numId w:val="4"/>
        </w:numPr>
        <w:snapToGrid/>
        <w:spacing w:before="0" w:beforeAutospacing="0" w:after="0" w:afterAutospacing="0" w:line="579" w:lineRule="exact"/>
        <w:ind w:firstLine="632" w:firstLineChars="200"/>
        <w:jc w:val="both"/>
        <w:textAlignment w:val="baseline"/>
        <w:rPr>
          <w:rStyle w:val="8"/>
          <w:rFonts w:ascii="方正黑体_GBK" w:hAnsi="方正黑体_GBK" w:eastAsia="方正黑体_GBK" w:cs="方正黑体_GBK"/>
          <w:b w:val="0"/>
          <w:bCs/>
          <w:i w:val="0"/>
          <w:caps w:val="0"/>
          <w:spacing w:val="0"/>
          <w:w w:val="100"/>
          <w:kern w:val="44"/>
          <w:sz w:val="32"/>
          <w:szCs w:val="32"/>
          <w:lang w:val="en-US" w:eastAsia="zh-CN" w:bidi="ar-SA"/>
        </w:rPr>
      </w:pPr>
      <w:bookmarkStart w:id="57" w:name="_Toc30193_WPSOffice_Level1"/>
      <w:r>
        <w:rPr>
          <w:rStyle w:val="8"/>
          <w:rFonts w:ascii="方正黑体_GBK" w:hAnsi="方正黑体_GBK" w:eastAsia="方正黑体_GBK" w:cs="方正黑体_GBK"/>
          <w:b w:val="0"/>
          <w:bCs/>
          <w:i w:val="0"/>
          <w:caps w:val="0"/>
          <w:spacing w:val="0"/>
          <w:w w:val="100"/>
          <w:kern w:val="44"/>
          <w:sz w:val="32"/>
          <w:szCs w:val="32"/>
          <w:lang w:val="en-US" w:eastAsia="zh-CN" w:bidi="ar-SA"/>
        </w:rPr>
        <w:t>重点任务</w:t>
      </w:r>
      <w:bookmarkEnd w:id="57"/>
    </w:p>
    <w:p>
      <w:pPr>
        <w:numPr>
          <w:ilvl w:val="0"/>
          <w:numId w:val="12"/>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58" w:name="_Toc9341_WPSOffice_Level2"/>
      <w:r>
        <w:rPr>
          <w:rStyle w:val="8"/>
          <w:rFonts w:ascii="Times New Roman" w:hAnsi="Times New Roman" w:eastAsia="方正楷体_GBK"/>
          <w:b w:val="0"/>
          <w:i w:val="0"/>
          <w:caps w:val="0"/>
          <w:color w:val="000000"/>
          <w:spacing w:val="0"/>
          <w:w w:val="100"/>
          <w:kern w:val="2"/>
          <w:sz w:val="32"/>
          <w:szCs w:val="32"/>
          <w:lang w:val="en-US" w:eastAsia="zh-CN" w:bidi="ar-SA"/>
        </w:rPr>
        <w:t>优化空间布局，拓展发展空间</w:t>
      </w:r>
      <w:bookmarkEnd w:id="58"/>
    </w:p>
    <w:p>
      <w:pPr>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根据黔江区各乡镇交通区位条件、服务业产业基础与自然环境条件，按照城市功能提升和城乡统筹发展的要求，服务业发展主要围绕中心城区展开布局，因地制宜、科学规划、合理布局，发挥服务业在城镇化进程中的重要作用，打造一批服务业高质量发展示范区，形成城乡协调的服务业高质量发展新格局。</w:t>
      </w:r>
    </w:p>
    <w:p>
      <w:pPr>
        <w:numPr>
          <w:ilvl w:val="0"/>
          <w:numId w:val="13"/>
        </w:numPr>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打造中心城区服务业核心区。</w:t>
      </w:r>
      <w:r>
        <w:rPr>
          <w:rStyle w:val="8"/>
          <w:rFonts w:ascii="Times New Roman" w:hAnsi="Times New Roman" w:eastAsia="方正仿宋_GBK"/>
          <w:b w:val="0"/>
          <w:i w:val="0"/>
          <w:caps w:val="0"/>
          <w:color w:val="000000"/>
          <w:spacing w:val="0"/>
          <w:w w:val="100"/>
          <w:kern w:val="2"/>
          <w:sz w:val="32"/>
          <w:szCs w:val="32"/>
          <w:lang w:val="en-US" w:eastAsia="zh-CN" w:bidi="ar-SA"/>
        </w:rPr>
        <w:t>中心城区是黔江服务业核心功能的主要承担区域。根据城区现有的服务业产业基础，结合区内未来人口分布和自然生态环境条件等因素，进一步优化服务业功能分工和空间布局，打造“一带、一廊、双核”服务业发展承载空间。</w:t>
      </w:r>
    </w:p>
    <w:p>
      <w:pPr>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一带”：即老城区沿黔江河城市生态景观联系带。依托老城区人口聚集的优势，支持沿黔江河两岸核心区领先发展，促进优势服务业和高附加值服务环节集聚，突出发展现代金融、现代商贸服务、专业中介服务、社区及家政服务、服务贸易等生活服务业，打造黔江区生活服务业标志区。</w:t>
      </w:r>
    </w:p>
    <w:p>
      <w:pPr>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一廊”：即老城和新城之间的城市峡谷地带，是黔江最重要的城市自然生态廊道，串联着黔江老城与城市新区。作为提升城市服务业层级、改善城区风貌、提高人民生活品质的主要空间载体，峡谷两岸将成为黔江最富魅力的峡谷生态活力带，积极配合黔江区打造渝东南大健康服务中心城市的定位，主要在峡谷附近布置假日酒店、康养中心、民俗风情村、生态公园等公共服务产业，建设渝东南片区的城市峡谷生态廊道。</w:t>
      </w:r>
    </w:p>
    <w:p>
      <w:pPr>
        <w:snapToGrid/>
        <w:spacing w:before="0" w:beforeAutospacing="0" w:after="0" w:afterAutospacing="0" w:line="240" w:lineRule="auto"/>
        <w:ind w:firstLine="64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双核”：即舟白组团核心区和正阳组团核心区。舟白组团依托武陵山机场和文教用地等基础条件，大力发展现代物流、现代金融、软件与信息服务业、科技服务业，建设渝东南职教城。正阳组团充分发挥正阳工业园区为渝东南工业核心集聚区和产业集聚辐射中心、成渝地区双城经济圈产业协作和科技转化基地、承接东部产业转移示范基地、长江上游绿色发展样板基地的先行先试优势，依托黔江区新城行政服务中心、西部医学中心渝东南副中心的辐射效应和正阳工业园区物流基地的产业基础，着重强化会展服务、电子商务、科技服务、专业服务、保税贸易、医养综合体、电商和冷链物流、多式联运现代物流等生产性服务业。</w:t>
      </w:r>
    </w:p>
    <w:p>
      <w:pPr>
        <w:widowControl/>
        <w:snapToGrid/>
        <w:spacing w:before="0" w:beforeAutospacing="0" w:after="0" w:afterAutospacing="0" w:line="240" w:lineRule="auto"/>
        <w:jc w:val="center"/>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宋体"/>
          <w:b w:val="0"/>
          <w:i w:val="0"/>
          <w:caps w:val="0"/>
          <w:color w:val="000000"/>
          <w:spacing w:val="0"/>
          <w:w w:val="100"/>
          <w:kern w:val="0"/>
          <w:sz w:val="24"/>
          <w:szCs w:val="24"/>
          <w:lang w:val="en-US" w:eastAsia="zh-CN"/>
        </w:rPr>
        <w:drawing>
          <wp:inline distT="0" distB="0" distL="114300" distR="114300">
            <wp:extent cx="5337810" cy="5280025"/>
            <wp:effectExtent l="0" t="0" r="15240" b="15875"/>
            <wp:docPr id="4"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true"/>
                    </pic:cNvPicPr>
                  </pic:nvPicPr>
                  <pic:blipFill>
                    <a:blip r:embed="rId18"/>
                    <a:srcRect r="697"/>
                    <a:stretch>
                      <a:fillRect/>
                    </a:stretch>
                  </pic:blipFill>
                  <pic:spPr>
                    <a:xfrm>
                      <a:off x="0" y="0"/>
                      <a:ext cx="5337810" cy="5280025"/>
                    </a:xfrm>
                    <a:prstGeom prst="rect">
                      <a:avLst/>
                    </a:prstGeom>
                    <a:noFill/>
                    <a:ln>
                      <a:noFill/>
                    </a:ln>
                  </pic:spPr>
                </pic:pic>
              </a:graphicData>
            </a:graphic>
          </wp:inline>
        </w:drawing>
      </w:r>
    </w:p>
    <w:p>
      <w:pPr>
        <w:pStyle w:val="19"/>
        <w:snapToGrid/>
        <w:spacing w:before="0" w:beforeAutospacing="0" w:after="0" w:afterAutospacing="0" w:line="240" w:lineRule="auto"/>
        <w:ind w:left="316" w:leftChars="100" w:right="320" w:firstLine="420"/>
        <w:jc w:val="center"/>
        <w:textAlignment w:val="baseline"/>
        <w:rPr>
          <w:rStyle w:val="8"/>
          <w:rFonts w:ascii="Times New Roman" w:hAnsi="Times New Roman" w:eastAsia="方正黑体_GBK"/>
          <w:b w:val="0"/>
          <w:i w:val="0"/>
          <w:caps w:val="0"/>
          <w:color w:val="000000"/>
          <w:spacing w:val="0"/>
          <w:w w:val="100"/>
          <w:sz w:val="30"/>
          <w:szCs w:val="30"/>
          <w:lang w:val="en-US" w:eastAsia="zh-CN"/>
        </w:rPr>
      </w:pPr>
      <w:bookmarkStart w:id="59" w:name="_Toc10789_WPSOffice_Level2"/>
      <w:r>
        <w:rPr>
          <w:rStyle w:val="8"/>
          <w:rFonts w:ascii="Times New Roman" w:hAnsi="Times New Roman" w:eastAsia="方正黑体_GBK"/>
          <w:b w:val="0"/>
          <w:i w:val="0"/>
          <w:caps w:val="0"/>
          <w:color w:val="000000"/>
          <w:spacing w:val="0"/>
          <w:w w:val="100"/>
          <w:sz w:val="30"/>
          <w:szCs w:val="30"/>
          <w:lang w:val="en-US" w:eastAsia="zh-CN"/>
        </w:rPr>
        <w:t>图1 中心城区“一带、一廊、双核”服务业空间布局</w:t>
      </w:r>
      <w:bookmarkEnd w:id="59"/>
    </w:p>
    <w:p>
      <w:pPr>
        <w:keepNext w:val="0"/>
        <w:keepLines w:val="0"/>
        <w:pageBreakBefore w:val="0"/>
        <w:widowControl/>
        <w:numPr>
          <w:ilvl w:val="0"/>
          <w:numId w:val="13"/>
        </w:numPr>
        <w:kinsoku/>
        <w:wordWrap/>
        <w:overflowPunct/>
        <w:topLinePunct w:val="0"/>
        <w:autoSpaceDE/>
        <w:autoSpaceDN/>
        <w:bidi w:val="0"/>
        <w:adjustRightInd/>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推动周边乡镇服务业特色化发展。</w:t>
      </w:r>
      <w:r>
        <w:rPr>
          <w:rStyle w:val="8"/>
          <w:rFonts w:ascii="Times New Roman" w:hAnsi="Times New Roman" w:eastAsia="方正仿宋_GBK"/>
          <w:b w:val="0"/>
          <w:i w:val="0"/>
          <w:caps w:val="0"/>
          <w:color w:val="000000"/>
          <w:spacing w:val="0"/>
          <w:w w:val="100"/>
          <w:kern w:val="2"/>
          <w:sz w:val="32"/>
          <w:szCs w:val="32"/>
          <w:lang w:val="en-US" w:eastAsia="zh-CN" w:bidi="ar-SA"/>
        </w:rPr>
        <w:t>按照因地制宜、分类推进原则，宜工则工、宜农则农、宜商则商、宜游则游，着力发展特色鲜明、主业突出的旅游服务业，形成与中心城区服务业高质量发展相配套的各类特色服务业发展集聚区。在生态环境、风景名胜和民俗文化方面具有优势的乡镇，如阿蓬江镇、濯水镇、小南海镇、马喇镇等推进现代农业与休闲娱乐、美丽乡村、文化创意、健康养老、观光旅游等融合发展，积极发展特色景观旅游、民宿旅游，重点培育采摘农乐园、休闲农庄等乡村旅游新业态。在正阳街道、舟白街道、冯家街道等与中心城区相邻的街道，积极发展商贸、商务、社区服务、医疗健康等生活性服务业，提升生活性服务业发展水平和档次。</w:t>
      </w:r>
    </w:p>
    <w:p>
      <w:pPr>
        <w:pStyle w:val="19"/>
        <w:snapToGrid/>
        <w:spacing w:before="0" w:beforeAutospacing="0" w:after="0" w:afterAutospacing="0" w:line="240" w:lineRule="auto"/>
        <w:ind w:left="0" w:leftChars="0" w:right="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60" w:name="_Toc2766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4</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打造新兴产业集聚空间重点任务</w:t>
      </w:r>
      <w:bookmarkEnd w:id="60"/>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PrEx>
        <w:trPr>
          <w:jc w:val="center"/>
        </w:trPr>
        <w:tc>
          <w:tcPr>
            <w:tcW w:w="8951" w:type="dxa"/>
            <w:tcBorders>
              <w:top w:val="single" w:color="000000" w:sz="12" w:space="0"/>
              <w:left w:val="single" w:color="000000" w:sz="12" w:space="0"/>
              <w:bottom w:val="single" w:color="000000" w:sz="12" w:space="0"/>
              <w:right w:val="single" w:color="000000" w:sz="12" w:space="0"/>
            </w:tcBorders>
            <w:vAlign w:val="center"/>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大力拓展城市发展新空间：</w:t>
            </w:r>
            <w:r>
              <w:rPr>
                <w:rStyle w:val="8"/>
                <w:rFonts w:ascii="Times New Roman" w:hAnsi="Times New Roman" w:eastAsia="方正仿宋_GBK"/>
                <w:b w:val="0"/>
                <w:i w:val="0"/>
                <w:caps w:val="0"/>
                <w:color w:val="000000"/>
                <w:spacing w:val="-4"/>
                <w:w w:val="100"/>
                <w:kern w:val="0"/>
                <w:sz w:val="24"/>
                <w:szCs w:val="24"/>
                <w:lang w:val="en-US" w:eastAsia="zh-CN" w:bidi="ar-SA"/>
              </w:rPr>
              <w:t>新城聚焦“产城融合”发展定位，瞄准现代产业链、价值链、创新链的核心环节，持续抓好核心区和重点片区建设，大力引进知名金融机构、物流龙头企业、文旅集团、互联网公司落户，注重引进企业总部、工业设计、科创研发、技术应用等高端服务业和生产性服务业。老城适应城乡消费多样化需求，扩大新型商业街区和城市综合体服务供给，提升生活性服务业发展水平。</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大力拓展园区发展新空间：</w:t>
            </w:r>
            <w:r>
              <w:rPr>
                <w:rStyle w:val="8"/>
                <w:rFonts w:ascii="Times New Roman" w:hAnsi="Times New Roman" w:eastAsia="方正仿宋_GBK"/>
                <w:b w:val="0"/>
                <w:i w:val="0"/>
                <w:caps w:val="0"/>
                <w:color w:val="000000"/>
                <w:spacing w:val="-4"/>
                <w:w w:val="100"/>
                <w:kern w:val="0"/>
                <w:sz w:val="24"/>
                <w:szCs w:val="24"/>
                <w:lang w:val="en-US" w:eastAsia="zh-CN" w:bidi="ar-SA"/>
              </w:rPr>
              <w:t>积极推进“四大园区”整合优化、功能提升、制度创新，推动项目高度集中、企业高度集群、产业高度集聚，推动关联企业、专业化供应商、服务供应商、研发机构等规模集聚。优化集聚形态，以拉长产业链条、形成主导产业和特色为重点。</w:t>
            </w:r>
          </w:p>
        </w:tc>
      </w:tr>
    </w:tbl>
    <w:p>
      <w:pPr>
        <w:keepNext w:val="0"/>
        <w:keepLines w:val="0"/>
        <w:pageBreakBefore w:val="0"/>
        <w:widowControl/>
        <w:numPr>
          <w:ilvl w:val="0"/>
          <w:numId w:val="12"/>
        </w:numPr>
        <w:kinsoku/>
        <w:wordWrap/>
        <w:overflowPunct/>
        <w:topLinePunct w:val="0"/>
        <w:autoSpaceDE/>
        <w:autoSpaceDN/>
        <w:bidi w:val="0"/>
        <w:adjustRightInd/>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61" w:name="_Toc31202_WPSOffice_Level2"/>
      <w:r>
        <w:rPr>
          <w:rStyle w:val="8"/>
          <w:rFonts w:ascii="Times New Roman" w:hAnsi="Times New Roman" w:eastAsia="方正楷体_GBK"/>
          <w:b w:val="0"/>
          <w:i w:val="0"/>
          <w:caps w:val="0"/>
          <w:color w:val="000000"/>
          <w:spacing w:val="0"/>
          <w:w w:val="100"/>
          <w:kern w:val="2"/>
          <w:sz w:val="32"/>
          <w:szCs w:val="32"/>
          <w:lang w:val="en-US" w:eastAsia="zh-CN" w:bidi="ar-SA"/>
        </w:rPr>
        <w:t>加强主体培育，激发市场活力</w:t>
      </w:r>
      <w:bookmarkEnd w:id="61"/>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1. 培育一批龙头企业。</w:t>
      </w:r>
      <w:r>
        <w:rPr>
          <w:rStyle w:val="8"/>
          <w:rFonts w:ascii="Times New Roman" w:hAnsi="Times New Roman" w:eastAsia="方正仿宋_GBK"/>
          <w:b w:val="0"/>
          <w:bCs w:val="0"/>
          <w:i w:val="0"/>
          <w:caps w:val="0"/>
          <w:color w:val="000000"/>
          <w:spacing w:val="0"/>
          <w:w w:val="100"/>
          <w:kern w:val="2"/>
          <w:sz w:val="32"/>
          <w:szCs w:val="32"/>
          <w:lang w:val="en-US" w:eastAsia="zh-CN" w:bidi="ar-SA"/>
        </w:rPr>
        <w:t>一是建立全区服务企业信息库，重点扶持一批具有行业引领作用及规模优势的服务业龙头企业，在土地、财政等资源方面给予倾斜，持续壮大已落户黔江的服务企业的规模和发展水平，带动示范相关行业整体发展；二是培育引进一批服务创新型企业，加强产业基金、众创空间、人才保障等方面的支撑，鼓励商业模式、服务技术、管理方法的协同创新，促进现代商贸、软件与信息、会展服务、电子商务等新兴领域的发展壮大；三是努力推进全区龙头和创新服务业企业上市，按照“培育一批、股改一批、辅导一批、申报一批、上市一批”的路径，建立拟上市资源调查机制，围绕优势服务业产业开展摸底调查，重点关注企业的上市意愿、行业地位和营收（利润）增速等因素，筛选发展潜力较大的上市后备企业，实现服务业企业上市的突破。</w:t>
      </w:r>
    </w:p>
    <w:p>
      <w:pPr>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2. 扶持中小微型企业。</w:t>
      </w:r>
      <w:r>
        <w:rPr>
          <w:rStyle w:val="8"/>
          <w:rFonts w:ascii="Times New Roman" w:hAnsi="Times New Roman" w:eastAsia="方正仿宋_GBK"/>
          <w:b w:val="0"/>
          <w:bCs w:val="0"/>
          <w:i w:val="0"/>
          <w:caps w:val="0"/>
          <w:color w:val="000000"/>
          <w:spacing w:val="0"/>
          <w:w w:val="100"/>
          <w:kern w:val="2"/>
          <w:sz w:val="32"/>
          <w:szCs w:val="32"/>
          <w:lang w:val="en-US" w:eastAsia="zh-CN" w:bidi="ar-SA"/>
        </w:rPr>
        <w:t>设立服务业专项扶持资金，在“十四五”期间，培育100户有较大发展潜力的服务业中小企业。按照“缺什么补什么”原则，采取“一户一策”方式，在企业固定资产投资、科技研发、人才引进、新聘员工、贷款等方面给予支持，帮助企业开拓市场、加强管理、提升核心竞争力和扩大生产经营规模。</w:t>
      </w:r>
    </w:p>
    <w:p>
      <w:pPr>
        <w:pStyle w:val="19"/>
        <w:snapToGrid/>
        <w:spacing w:before="0" w:beforeAutospacing="0" w:after="0" w:afterAutospacing="0" w:line="240" w:lineRule="auto"/>
        <w:ind w:left="0" w:leftChars="0" w:right="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62" w:name="_Toc1964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5</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服务业主体培育重点任务</w:t>
      </w:r>
      <w:bookmarkEnd w:id="62"/>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02" w:hRule="atLeast"/>
          <w:jc w:val="center"/>
        </w:trPr>
        <w:tc>
          <w:tcPr>
            <w:tcW w:w="8951" w:type="dxa"/>
            <w:tcBorders>
              <w:top w:val="single" w:color="000000" w:sz="12" w:space="0"/>
              <w:left w:val="single" w:color="000000" w:sz="12" w:space="0"/>
              <w:bottom w:val="single" w:color="000000" w:sz="12" w:space="0"/>
              <w:right w:val="single" w:color="000000" w:sz="12" w:space="0"/>
            </w:tcBorders>
            <w:vAlign w:val="top"/>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主体培育计划：</w:t>
            </w:r>
            <w:r>
              <w:rPr>
                <w:rStyle w:val="8"/>
                <w:rFonts w:ascii="Times New Roman" w:hAnsi="Times New Roman" w:eastAsia="方正仿宋_GBK"/>
                <w:b w:val="0"/>
                <w:i w:val="0"/>
                <w:caps w:val="0"/>
                <w:color w:val="000000"/>
                <w:spacing w:val="-4"/>
                <w:w w:val="100"/>
                <w:kern w:val="0"/>
                <w:sz w:val="24"/>
                <w:szCs w:val="24"/>
                <w:lang w:val="en-US" w:eastAsia="zh-CN" w:bidi="ar-SA"/>
              </w:rPr>
              <w:t>选取一批具有引领作用和规模优势的服务业龙头企业，建立全区服务企业信息库，在土地、财政等资源方面给予倾斜。支持区内现代商贸、软件与信息、会展服务、电子商务等新兴领域服务创新型企业发展壮大。鼓励实力较强的服务企业上市。</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中小企业扶持计划：</w:t>
            </w:r>
            <w:r>
              <w:rPr>
                <w:rStyle w:val="8"/>
                <w:rFonts w:ascii="Times New Roman" w:hAnsi="Times New Roman" w:eastAsia="方正仿宋_GBK"/>
                <w:b w:val="0"/>
                <w:i w:val="0"/>
                <w:caps w:val="0"/>
                <w:color w:val="000000"/>
                <w:spacing w:val="-4"/>
                <w:w w:val="100"/>
                <w:kern w:val="0"/>
                <w:sz w:val="24"/>
                <w:szCs w:val="24"/>
                <w:lang w:val="en-US" w:eastAsia="zh-CN" w:bidi="ar-SA"/>
              </w:rPr>
              <w:t>培育100户有较大发展潜力的服务业中小企业；设立专项扶持资金。</w:t>
            </w:r>
          </w:p>
        </w:tc>
      </w:tr>
    </w:tbl>
    <w:p>
      <w:pPr>
        <w:numPr>
          <w:ilvl w:val="0"/>
          <w:numId w:val="12"/>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63" w:name="_Toc25260_WPSOffice_Level2"/>
      <w:r>
        <w:rPr>
          <w:rStyle w:val="8"/>
          <w:rFonts w:ascii="Times New Roman" w:hAnsi="Times New Roman" w:eastAsia="方正楷体_GBK"/>
          <w:b w:val="0"/>
          <w:i w:val="0"/>
          <w:caps w:val="0"/>
          <w:color w:val="000000"/>
          <w:spacing w:val="0"/>
          <w:w w:val="100"/>
          <w:kern w:val="2"/>
          <w:sz w:val="32"/>
          <w:szCs w:val="32"/>
          <w:lang w:val="en-US" w:eastAsia="zh-CN" w:bidi="ar-SA"/>
        </w:rPr>
        <w:t>深化融合发展，完善服务链条</w:t>
      </w:r>
      <w:bookmarkEnd w:id="63"/>
    </w:p>
    <w:p>
      <w:pPr>
        <w:numPr>
          <w:ilvl w:val="0"/>
          <w:numId w:val="14"/>
        </w:numPr>
        <w:snapToGrid/>
        <w:spacing w:before="0" w:beforeAutospacing="0" w:after="0" w:afterAutospacing="0" w:line="240" w:lineRule="auto"/>
        <w:ind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推动服务业与制造业深度融合。</w:t>
      </w:r>
      <w:r>
        <w:rPr>
          <w:rStyle w:val="8"/>
          <w:rFonts w:ascii="Times New Roman" w:hAnsi="Times New Roman" w:eastAsia="方正仿宋_GBK"/>
          <w:b w:val="0"/>
          <w:bCs w:val="0"/>
          <w:i w:val="0"/>
          <w:caps w:val="0"/>
          <w:color w:val="000000"/>
          <w:spacing w:val="0"/>
          <w:w w:val="100"/>
          <w:kern w:val="2"/>
          <w:sz w:val="32"/>
          <w:szCs w:val="32"/>
          <w:lang w:val="en-US" w:eastAsia="zh-CN" w:bidi="ar-SA"/>
        </w:rPr>
        <w:t>先进制造业和服务业融合是顺应新一轮科技革命和产业变革，增强制造业核心竞争力、培育现代产业体系、实现高质量发展的重要途径。黔江要深化业务关联、链条延伸、技术渗透，探索新业态、新模式、新路径，推动先进制造业和现代服务业相融相长、耦合共生。一是推动制造业服务化。深入实施服务型制造专项行动，推动制造企业向产业链前端研发设计和后端售后服务等环节拓展，逐步向“制造+服务”和“产品+服务”转变。二是推动服务向制造渗透。围绕市场需求，支持服务企业开展批量反向定制服务，推动生产制造环节调整和柔性化改造。鼓励服务业企业与制造企业跨界联合，打造“平台+模块”、“服务+制造”的网络化协同生产服务体系，培育一批行业专业性服务平台和服务型制造示范企业。</w:t>
      </w:r>
    </w:p>
    <w:p>
      <w:pPr>
        <w:numPr>
          <w:ilvl w:val="0"/>
          <w:numId w:val="14"/>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促进服务业内部融合。</w:t>
      </w:r>
      <w:r>
        <w:rPr>
          <w:rStyle w:val="8"/>
          <w:rFonts w:ascii="Times New Roman" w:hAnsi="Times New Roman" w:eastAsia="方正仿宋_GBK"/>
          <w:b w:val="0"/>
          <w:bCs w:val="0"/>
          <w:i w:val="0"/>
          <w:caps w:val="0"/>
          <w:color w:val="000000"/>
          <w:spacing w:val="0"/>
          <w:w w:val="100"/>
          <w:kern w:val="2"/>
          <w:sz w:val="32"/>
          <w:szCs w:val="32"/>
          <w:lang w:val="en-US" w:eastAsia="zh-CN" w:bidi="ar-SA"/>
        </w:rPr>
        <w:t>推进文化与科技、旅游融合，加快建设具有黔江地方特色的文化技术创新、文化旅游体系。积极开展电子商务与物流融合发展示范项目，提升物流信息化水平。推进金融服务向其他服务领域延伸，拓展科技金融、文化金融等新兴金融服务市场。鼓励流通企业与上下游企业和横向关联企业联合采购、联合营销，加快流通业与金融、信息等产业的融合，培育发展品牌联盟。加速研发设计、信息咨询和检验检测等科技服务与相关服务产业融合发展，提升服务效率，建立增值服务体系。</w:t>
      </w:r>
    </w:p>
    <w:p>
      <w:pPr>
        <w:numPr>
          <w:ilvl w:val="0"/>
          <w:numId w:val="14"/>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促进服务业“线上+线下”融合。</w:t>
      </w:r>
      <w:r>
        <w:rPr>
          <w:rStyle w:val="8"/>
          <w:rFonts w:ascii="Times New Roman" w:hAnsi="Times New Roman" w:eastAsia="方正仿宋_GBK"/>
          <w:b w:val="0"/>
          <w:bCs w:val="0"/>
          <w:i w:val="0"/>
          <w:caps w:val="0"/>
          <w:color w:val="000000"/>
          <w:spacing w:val="0"/>
          <w:w w:val="100"/>
          <w:kern w:val="2"/>
          <w:sz w:val="32"/>
          <w:szCs w:val="32"/>
          <w:lang w:val="en-US" w:eastAsia="zh-CN" w:bidi="ar-SA"/>
        </w:rPr>
        <w:t>疫情防控催生新的服务需求和供给，社会生产服务活动亟需加速“触网”。依托互联网、大数据，聚焦产业互联网、新零售、数字内容、数字金融等重点领域，加快培育线上业态。引导企业适应“宅经济”模式，大力推广“互联网+”，提升管理精细化水平，做到“让数据多跑路、让群众少跑路”，加快发展线上服务。加快构建线上管理新体系，强化新型基础设施建设，建立政府与企业、网上与网下、网络与网格统筹机制，推进数据大融合业务大协同社会大合作，加快推动线上管理。</w:t>
      </w:r>
    </w:p>
    <w:p>
      <w:pPr>
        <w:pStyle w:val="19"/>
        <w:snapToGrid/>
        <w:spacing w:before="0" w:beforeAutospacing="0" w:after="0" w:afterAutospacing="0" w:line="240" w:lineRule="auto"/>
        <w:ind w:left="0" w:leftChars="0" w:right="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64" w:name="_Toc17478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6</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服务业融合发展重点任务</w:t>
      </w:r>
      <w:bookmarkEnd w:id="64"/>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502" w:hRule="atLeast"/>
          <w:jc w:val="center"/>
        </w:trPr>
        <w:tc>
          <w:tcPr>
            <w:tcW w:w="8951" w:type="dxa"/>
            <w:tcBorders>
              <w:top w:val="single" w:color="000000" w:sz="12" w:space="0"/>
              <w:left w:val="single" w:color="000000" w:sz="12" w:space="0"/>
              <w:bottom w:val="single" w:color="000000" w:sz="12" w:space="0"/>
              <w:right w:val="single" w:color="000000" w:sz="12" w:space="0"/>
            </w:tcBorders>
            <w:vAlign w:val="top"/>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服务业与制造业深度融合：</w:t>
            </w:r>
            <w:r>
              <w:rPr>
                <w:rStyle w:val="8"/>
                <w:rFonts w:ascii="Times New Roman" w:hAnsi="Times New Roman" w:eastAsia="方正仿宋_GBK"/>
                <w:b w:val="0"/>
                <w:i w:val="0"/>
                <w:caps w:val="0"/>
                <w:color w:val="000000"/>
                <w:spacing w:val="-4"/>
                <w:w w:val="100"/>
                <w:kern w:val="0"/>
                <w:sz w:val="24"/>
                <w:szCs w:val="24"/>
                <w:lang w:val="en-US" w:eastAsia="zh-CN" w:bidi="ar-SA"/>
              </w:rPr>
              <w:t>支持有条件的设备生产制造企业向系统集成总承包服务和提供产品全生命周期服务转变。支持行业领军企业开展各种专业化服务，鼓励制造业企业发展供应链金融和融资租赁服务。鼓励制造企业与电商企业开展合作，打造制造、营销、物流、售后等高效协同的生产流通及后服务一体化新生态。鼓励服务企业利用信息技术、品牌营销等优势，开发新产品、新装备，向制造环节拓展，实现服务产品化发展。鼓励服务业企业与制造企业跨界联合，打造“平台+模块”“服务+制造”的网络化协同生产服务体系，培育一批行业专业性服务平台和服务型制造示范企业。</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服务业内部融合：</w:t>
            </w:r>
            <w:r>
              <w:rPr>
                <w:rStyle w:val="8"/>
                <w:rFonts w:ascii="Times New Roman" w:hAnsi="Times New Roman" w:eastAsia="方正仿宋_GBK"/>
                <w:b w:val="0"/>
                <w:i w:val="0"/>
                <w:caps w:val="0"/>
                <w:color w:val="000000"/>
                <w:spacing w:val="-4"/>
                <w:w w:val="100"/>
                <w:kern w:val="0"/>
                <w:sz w:val="24"/>
                <w:szCs w:val="24"/>
                <w:lang w:val="en-US" w:eastAsia="zh-CN" w:bidi="ar-SA"/>
              </w:rPr>
              <w:t>打造精品文艺节目，推动后坝山歌、南溪号子、后河古戏、向氏武术、西兰卡普编织等非物质文化遗产保护传承，促进文化与旅游融合；利用“互联网+旅游”，构建智慧景区和网络销售平台，加快发展旅游产品电子商务，促进旅游与电子商务融合；构建电子商务物流服务平台和配送网络，建立共同配送联盟，加快快件集散中心等区域性仓储基地建设，推进黔江跨境电商一站式服务平台建设，促进电子商务与物流融合。</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服务业“线上+线下”融合：</w:t>
            </w:r>
            <w:r>
              <w:rPr>
                <w:rStyle w:val="8"/>
                <w:rFonts w:ascii="Times New Roman" w:hAnsi="Times New Roman" w:eastAsia="方正仿宋_GBK"/>
                <w:b w:val="0"/>
                <w:i w:val="0"/>
                <w:caps w:val="0"/>
                <w:color w:val="000000"/>
                <w:spacing w:val="-4"/>
                <w:w w:val="100"/>
                <w:kern w:val="0"/>
                <w:sz w:val="24"/>
                <w:szCs w:val="24"/>
                <w:lang w:val="en-US" w:eastAsia="zh-CN" w:bidi="ar-SA"/>
              </w:rPr>
              <w:t>打造蚕桑、生猪、猕猴桃、脆红李等特色农业互联网平台；鼓励商贸企业利用App、直播带货、小程序等线上平台开展业务，提升网络营销能力，加快培育线上业态。支持“线上超市”“网上餐厅”等生活性服务业发展，大力推广在线医疗、在线教育、在线商务等，围绕商务活动、交通、政务服务等领域大力推广“互联网+”，加快发展线上服务。推进城市管理“一网统管”、政务服务“一网统办”、应急管理“一网调度”、基层服务“一网治理”机制，特别在消费、交通、医疗等领域，拓展健康码功能应用，逐步实现“一码多用”，加快推动线上管理。</w:t>
            </w:r>
          </w:p>
        </w:tc>
      </w:tr>
    </w:tbl>
    <w:p>
      <w:pPr>
        <w:numPr>
          <w:ilvl w:val="0"/>
          <w:numId w:val="12"/>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65" w:name="_Toc2198_WPSOffice_Level2"/>
      <w:r>
        <w:rPr>
          <w:rStyle w:val="8"/>
          <w:rFonts w:ascii="Times New Roman" w:hAnsi="Times New Roman" w:eastAsia="方正楷体_GBK"/>
          <w:b w:val="0"/>
          <w:i w:val="0"/>
          <w:caps w:val="0"/>
          <w:color w:val="000000"/>
          <w:spacing w:val="0"/>
          <w:w w:val="100"/>
          <w:kern w:val="2"/>
          <w:sz w:val="32"/>
          <w:szCs w:val="32"/>
          <w:lang w:val="en-US" w:eastAsia="zh-CN" w:bidi="ar-SA"/>
        </w:rPr>
        <w:t>树立服务品牌，提升服务质量</w:t>
      </w:r>
      <w:bookmarkEnd w:id="65"/>
    </w:p>
    <w:p>
      <w:pPr>
        <w:numPr>
          <w:ilvl w:val="0"/>
          <w:numId w:val="15"/>
        </w:numPr>
        <w:snapToGrid/>
        <w:spacing w:before="0" w:beforeAutospacing="0" w:after="0" w:afterAutospacing="0" w:line="240" w:lineRule="auto"/>
        <w:ind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加强服务品牌培育。</w:t>
      </w:r>
      <w:r>
        <w:rPr>
          <w:rStyle w:val="8"/>
          <w:rFonts w:ascii="Times New Roman" w:hAnsi="Times New Roman" w:eastAsia="方正仿宋_GBK"/>
          <w:b w:val="0"/>
          <w:bCs w:val="0"/>
          <w:i w:val="0"/>
          <w:caps w:val="0"/>
          <w:color w:val="000000"/>
          <w:spacing w:val="0"/>
          <w:w w:val="100"/>
          <w:kern w:val="2"/>
          <w:sz w:val="32"/>
          <w:szCs w:val="32"/>
          <w:lang w:val="en-US" w:eastAsia="zh-CN" w:bidi="ar-SA"/>
        </w:rPr>
        <w:t>依托服务业传统服务品牌的比较优势，结合服务业发展的创新需求与新标准，逐步形成以市场需求提升与消费结构升级为基础的服务品牌产生机制。鼓励引导服务业企业申请国市级著名商标和知名品牌，积极推动服务品牌创建，提升黔江区品牌含金量。支持企业通过提高产品质量、维护良好信誉、打造知名品牌，培育提升核心竞争力。大力推进区内文化旅游、大健康服务、现代物流、科技服务、教育培训服务等优势服务业按照市级现代服务业集聚区、市级生产性服务业集聚示范区、市级示范物流园区等称号创建要求，对标找差，补齐短板，</w:t>
      </w:r>
      <w:r>
        <w:rPr>
          <w:rStyle w:val="8"/>
          <w:rFonts w:hint="eastAsia"/>
          <w:b w:val="0"/>
          <w:bCs w:val="0"/>
          <w:i w:val="0"/>
          <w:caps w:val="0"/>
          <w:color w:val="000000"/>
          <w:spacing w:val="0"/>
          <w:w w:val="100"/>
          <w:kern w:val="2"/>
          <w:sz w:val="32"/>
          <w:szCs w:val="32"/>
          <w:lang w:val="en-US" w:eastAsia="zh-CN" w:bidi="ar-SA"/>
        </w:rPr>
        <w:t>树</w:t>
      </w:r>
      <w:r>
        <w:rPr>
          <w:rStyle w:val="8"/>
          <w:rFonts w:ascii="Times New Roman" w:hAnsi="Times New Roman" w:eastAsia="方正仿宋_GBK"/>
          <w:b w:val="0"/>
          <w:bCs w:val="0"/>
          <w:i w:val="0"/>
          <w:caps w:val="0"/>
          <w:color w:val="000000"/>
          <w:spacing w:val="0"/>
          <w:w w:val="100"/>
          <w:kern w:val="2"/>
          <w:sz w:val="32"/>
          <w:szCs w:val="32"/>
          <w:lang w:val="en-US" w:eastAsia="zh-CN" w:bidi="ar-SA"/>
        </w:rPr>
        <w:t>立服务品牌。</w:t>
      </w:r>
    </w:p>
    <w:p>
      <w:pPr>
        <w:numPr>
          <w:ilvl w:val="0"/>
          <w:numId w:val="15"/>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增进品牌营销宣传。</w:t>
      </w:r>
      <w:r>
        <w:rPr>
          <w:rStyle w:val="8"/>
          <w:rFonts w:ascii="Times New Roman" w:hAnsi="Times New Roman" w:eastAsia="方正仿宋_GBK"/>
          <w:b w:val="0"/>
          <w:bCs w:val="0"/>
          <w:i w:val="0"/>
          <w:caps w:val="0"/>
          <w:color w:val="000000"/>
          <w:spacing w:val="0"/>
          <w:w w:val="100"/>
          <w:kern w:val="2"/>
          <w:sz w:val="32"/>
          <w:szCs w:val="32"/>
          <w:lang w:val="en-US" w:eastAsia="zh-CN" w:bidi="ar-SA"/>
        </w:rPr>
        <w:t>创新营销模式，深化与主流媒体合作，加强与旅行社合作交流，提升与同程网、携程网等旅游电商合作水平，拓展营销市场。依托濯水古镇、后坝山歌、南溪号子、后河古戏、向氏武术、西兰卡普编织等资源，挖掘乡村休闲文化底蕴，继续举办濯水魅力特色古镇旅游文化节等文化活动，打造旅游精品工程。依托建设中的渝湘高铁、高速公路网络，开发武陵山片区市场，拓展入境游客源，加快黔江旅游品牌和形象“走出去”。依托鑫众磊国际建材城仓储配送中心和专业市场平台，举办黔江家居建材采购节、黔江建材家居博览会，增强市场活力，打响黔江建材市场知名度。</w:t>
      </w:r>
    </w:p>
    <w:p>
      <w:pPr>
        <w:pStyle w:val="19"/>
        <w:snapToGrid/>
        <w:spacing w:before="0" w:beforeAutospacing="0" w:after="0" w:afterAutospacing="0" w:line="240" w:lineRule="auto"/>
        <w:ind w:left="0" w:leftChars="0" w:right="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66" w:name="_Toc32124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7</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服务业品牌树立重点任务</w:t>
      </w:r>
      <w:bookmarkEnd w:id="66"/>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trHeight w:val="998" w:hRule="atLeast"/>
          <w:jc w:val="center"/>
        </w:trPr>
        <w:tc>
          <w:tcPr>
            <w:tcW w:w="8951" w:type="dxa"/>
            <w:tcBorders>
              <w:top w:val="single" w:color="000000" w:sz="12" w:space="0"/>
              <w:left w:val="single" w:color="000000" w:sz="12" w:space="0"/>
              <w:bottom w:val="single" w:color="000000" w:sz="12" w:space="0"/>
              <w:right w:val="single" w:color="000000" w:sz="12" w:space="0"/>
            </w:tcBorders>
            <w:vAlign w:val="top"/>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品牌培育计划：</w:t>
            </w:r>
            <w:r>
              <w:rPr>
                <w:rStyle w:val="8"/>
                <w:rFonts w:ascii="Times New Roman" w:hAnsi="Times New Roman" w:eastAsia="方正仿宋_GBK"/>
                <w:b w:val="0"/>
                <w:i w:val="0"/>
                <w:caps w:val="0"/>
                <w:color w:val="000000"/>
                <w:spacing w:val="-4"/>
                <w:w w:val="100"/>
                <w:kern w:val="0"/>
                <w:sz w:val="24"/>
                <w:szCs w:val="24"/>
                <w:lang w:val="en-US" w:eastAsia="zh-CN" w:bidi="ar-SA"/>
              </w:rPr>
              <w:t>选取一批具有较大潜力品牌服务业企业，建立品牌企业培育库，设立专项资金支持，每年选取1-2家企业给予重点扶持。支持区内知名品牌、老字号、非物质文化遗产积极争创国市知名品牌、中华老字号、国家非物质文化遗产。争取选取2家实力较强的服务企业，进行资本市场上市培育。</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老字号非物质文化遗产传承计划：</w:t>
            </w:r>
            <w:r>
              <w:rPr>
                <w:rStyle w:val="8"/>
                <w:rFonts w:ascii="Times New Roman" w:hAnsi="Times New Roman" w:eastAsia="方正仿宋_GBK"/>
                <w:b w:val="0"/>
                <w:i w:val="0"/>
                <w:caps w:val="0"/>
                <w:color w:val="000000"/>
                <w:spacing w:val="-4"/>
                <w:w w:val="100"/>
                <w:kern w:val="0"/>
                <w:sz w:val="24"/>
                <w:szCs w:val="24"/>
                <w:lang w:val="en-US" w:eastAsia="zh-CN" w:bidi="ar-SA"/>
              </w:rPr>
              <w:t>支持老字号非物质文化遗产开展技术工艺、服务等创新发展。打造老字号非物质文化遗产发展园区平台，引导老字号非物质文化遗产集聚发展。</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品牌营销宣传计划：</w:t>
            </w:r>
            <w:r>
              <w:rPr>
                <w:rStyle w:val="8"/>
                <w:rFonts w:ascii="Times New Roman" w:hAnsi="Times New Roman" w:eastAsia="方正仿宋_GBK"/>
                <w:b w:val="0"/>
                <w:i w:val="0"/>
                <w:caps w:val="0"/>
                <w:color w:val="000000"/>
                <w:spacing w:val="-4"/>
                <w:w w:val="100"/>
                <w:kern w:val="0"/>
                <w:sz w:val="24"/>
                <w:szCs w:val="24"/>
                <w:lang w:val="en-US" w:eastAsia="zh-CN" w:bidi="ar-SA"/>
              </w:rPr>
              <w:t>加强与主流电商合作，拓展营销市场。举办特色古镇等旅游文化节和具有影响的家居博览会等。</w:t>
            </w:r>
          </w:p>
        </w:tc>
      </w:tr>
    </w:tbl>
    <w:p>
      <w:pPr>
        <w:numPr>
          <w:ilvl w:val="0"/>
          <w:numId w:val="12"/>
        </w:numPr>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67" w:name="_Toc8628_WPSOffice_Level2"/>
      <w:r>
        <w:rPr>
          <w:rStyle w:val="8"/>
          <w:rFonts w:ascii="Times New Roman" w:hAnsi="Times New Roman" w:eastAsia="方正楷体_GBK"/>
          <w:b w:val="0"/>
          <w:i w:val="0"/>
          <w:caps w:val="0"/>
          <w:color w:val="000000"/>
          <w:spacing w:val="0"/>
          <w:w w:val="100"/>
          <w:kern w:val="2"/>
          <w:sz w:val="32"/>
          <w:szCs w:val="32"/>
          <w:lang w:val="en-US" w:eastAsia="zh-CN" w:bidi="ar-SA"/>
        </w:rPr>
        <w:t>突出项目支撑，增强发展后劲</w:t>
      </w:r>
      <w:bookmarkEnd w:id="67"/>
    </w:p>
    <w:p>
      <w:pPr>
        <w:numPr>
          <w:ilvl w:val="0"/>
          <w:numId w:val="16"/>
        </w:numPr>
        <w:snapToGrid/>
        <w:spacing w:before="0" w:beforeAutospacing="0" w:after="0" w:afterAutospacing="0" w:line="240" w:lineRule="auto"/>
        <w:ind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加快入库项目建设。</w:t>
      </w:r>
      <w:r>
        <w:rPr>
          <w:rStyle w:val="8"/>
          <w:rFonts w:ascii="Times New Roman" w:hAnsi="Times New Roman" w:eastAsia="方正仿宋_GBK"/>
          <w:b w:val="0"/>
          <w:i w:val="0"/>
          <w:caps w:val="0"/>
          <w:color w:val="000000"/>
          <w:spacing w:val="0"/>
          <w:w w:val="100"/>
          <w:kern w:val="2"/>
          <w:sz w:val="32"/>
          <w:szCs w:val="32"/>
          <w:lang w:val="en-US" w:eastAsia="zh-CN" w:bidi="ar-SA"/>
        </w:rPr>
        <w:t>加快一批服务业重大项目建设，在用地空间、财政税收、银行信贷等保障上重点支持，提升项目建设速度和质量。建立重大服务业项目“1+X”的部门联席管理体系，对项目布局、建设、运营进行统筹协调，明确项目部门负责制。</w:t>
      </w:r>
    </w:p>
    <w:p>
      <w:pPr>
        <w:numPr>
          <w:ilvl w:val="0"/>
          <w:numId w:val="16"/>
        </w:numPr>
        <w:snapToGrid/>
        <w:spacing w:before="0" w:beforeAutospacing="0" w:after="0" w:afterAutospacing="0" w:line="240" w:lineRule="auto"/>
        <w:ind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谋划一批重大项目。</w:t>
      </w:r>
      <w:r>
        <w:rPr>
          <w:rStyle w:val="8"/>
          <w:rFonts w:ascii="Times New Roman" w:hAnsi="Times New Roman" w:eastAsia="方正仿宋_GBK"/>
          <w:b w:val="0"/>
          <w:i w:val="0"/>
          <w:caps w:val="0"/>
          <w:color w:val="000000"/>
          <w:spacing w:val="0"/>
          <w:w w:val="100"/>
          <w:kern w:val="2"/>
          <w:sz w:val="32"/>
          <w:szCs w:val="32"/>
          <w:lang w:val="en-US" w:eastAsia="zh-CN" w:bidi="ar-SA"/>
        </w:rPr>
        <w:t>以老城区核心商圈、芭拉胡旅游休闲度假区、武陵仙山旅游度假区等为载体，着眼于服务业“新业态、新领域、新热点”，及早谋划一批辐射带动性、示范引领性强、产业联动有力的服务业重大项目。积极创新招商模式，通过产业链招商、中介招商等方法，形成长效工作机制，坚持引资、引智、引税“三引并举”，努力引进一批带动能力强、产出效益高的服务业项目。</w:t>
      </w:r>
    </w:p>
    <w:p>
      <w:pPr>
        <w:pStyle w:val="19"/>
        <w:snapToGrid/>
        <w:spacing w:before="0" w:beforeAutospacing="0" w:after="0" w:afterAutospacing="0" w:line="240" w:lineRule="auto"/>
        <w:ind w:left="0" w:leftChars="0" w:right="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68" w:name="_Toc4863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8</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落实重大产业招商项目重点任务</w:t>
      </w:r>
      <w:bookmarkEnd w:id="68"/>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PrEx>
        <w:trPr>
          <w:jc w:val="center"/>
        </w:trPr>
        <w:tc>
          <w:tcPr>
            <w:tcW w:w="8951" w:type="dxa"/>
            <w:tcBorders>
              <w:top w:val="single" w:color="000000" w:sz="12" w:space="0"/>
              <w:left w:val="single" w:color="000000" w:sz="12" w:space="0"/>
              <w:bottom w:val="single" w:color="000000" w:sz="12" w:space="0"/>
              <w:right w:val="single" w:color="000000" w:sz="12" w:space="0"/>
            </w:tcBorders>
            <w:vAlign w:val="center"/>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抢占项目库建设的制高点：</w:t>
            </w:r>
            <w:r>
              <w:rPr>
                <w:rStyle w:val="8"/>
                <w:rFonts w:ascii="Times New Roman" w:hAnsi="Times New Roman" w:eastAsia="方正仿宋_GBK"/>
                <w:b w:val="0"/>
                <w:bCs w:val="0"/>
                <w:i w:val="0"/>
                <w:caps w:val="0"/>
                <w:color w:val="000000"/>
                <w:spacing w:val="-4"/>
                <w:w w:val="100"/>
                <w:kern w:val="0"/>
                <w:sz w:val="24"/>
                <w:szCs w:val="24"/>
                <w:lang w:val="en-US" w:eastAsia="zh-CN" w:bidi="ar-SA"/>
              </w:rPr>
              <w:t>聚焦成渝地区双城经济圈、“一区两群”、渝东南中心城市建设、区域性对外开放高地等重点，筛选、包装、储备一批具有市场竞争力的重大项目，抓好金融、现代物流、旅游康养等领域的大项目储备，吸引更多“金凤凰”落地黔江。</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cs="Times New Roman"/>
                <w:b/>
                <w:bCs/>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紧盯链条融合的突破点：</w:t>
            </w:r>
            <w:r>
              <w:rPr>
                <w:rStyle w:val="8"/>
                <w:rFonts w:ascii="Times New Roman" w:hAnsi="Times New Roman" w:eastAsia="方正仿宋_GBK"/>
                <w:b w:val="0"/>
                <w:i w:val="0"/>
                <w:caps w:val="0"/>
                <w:color w:val="000000"/>
                <w:spacing w:val="-4"/>
                <w:w w:val="100"/>
                <w:kern w:val="0"/>
                <w:sz w:val="24"/>
                <w:szCs w:val="24"/>
                <w:lang w:val="en-US" w:eastAsia="zh-CN" w:bidi="ar-SA"/>
              </w:rPr>
              <w:t>紧盯行业前沿，紧跟产业趋势，鼓励各个板块找准最有基础、最具前景的细分领域，对新材料、生物医药等产业发展中存在的“卡脖子”问题，进一步加强技术攻关，提高产业的技术密度和创新密度。围绕产业链加快布局创新链，围绕创新链加快培育产业链，利用蚕桑、生猪院士专家工作站的技术优势，推进“产业+创新”协同发展，在“一区两群”格局中尽快形成全产业链体系。</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瞄准项目招引的关键点：</w:t>
            </w:r>
            <w:r>
              <w:rPr>
                <w:rStyle w:val="8"/>
                <w:rFonts w:ascii="Times New Roman" w:hAnsi="Times New Roman" w:eastAsia="方正仿宋_GBK"/>
                <w:b w:val="0"/>
                <w:i w:val="0"/>
                <w:caps w:val="0"/>
                <w:color w:val="000000"/>
                <w:spacing w:val="-4"/>
                <w:w w:val="100"/>
                <w:kern w:val="0"/>
                <w:sz w:val="24"/>
                <w:szCs w:val="24"/>
                <w:lang w:val="en-US" w:eastAsia="zh-CN" w:bidi="ar-SA"/>
              </w:rPr>
              <w:t>立足现有资源禀赋和产业基础，聚焦产业的细分领域和上下游相关环节，加快引进一批龙头企业、领军企业和产业链企业，扎扎实实引链、补链、强链，跑出新一轮高质量招商加速度，努力以招商的集中攻势带动服务业的加快发展。制定完善服务业发展专项奖补政策，加大企业孵化培育力度，推动更多的初创企业发展为“独角兽”企业。</w:t>
            </w:r>
          </w:p>
        </w:tc>
      </w:tr>
    </w:tbl>
    <w:p>
      <w:pPr>
        <w:keepNext w:val="0"/>
        <w:keepLines w:val="0"/>
        <w:pageBreakBefore w:val="0"/>
        <w:widowControl w:val="0"/>
        <w:numPr>
          <w:ilvl w:val="0"/>
          <w:numId w:val="12"/>
        </w:numPr>
        <w:kinsoku/>
        <w:wordWrap/>
        <w:overflowPunct/>
        <w:topLinePunct w:val="0"/>
        <w:autoSpaceDE/>
        <w:autoSpaceDN/>
        <w:bidi w:val="0"/>
        <w:adjustRightInd/>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69" w:name="_Toc12601_WPSOffice_Level2"/>
      <w:r>
        <w:rPr>
          <w:rStyle w:val="8"/>
          <w:rFonts w:ascii="Times New Roman" w:hAnsi="Times New Roman" w:eastAsia="方正楷体_GBK"/>
          <w:b w:val="0"/>
          <w:i w:val="0"/>
          <w:caps w:val="0"/>
          <w:color w:val="000000"/>
          <w:spacing w:val="0"/>
          <w:w w:val="100"/>
          <w:kern w:val="2"/>
          <w:sz w:val="32"/>
          <w:szCs w:val="32"/>
          <w:lang w:val="en-US" w:eastAsia="zh-CN" w:bidi="ar-SA"/>
        </w:rPr>
        <w:t>扩大开放合作，加强平台建设</w:t>
      </w:r>
      <w:bookmarkEnd w:id="69"/>
    </w:p>
    <w:p>
      <w:pPr>
        <w:keepNext w:val="0"/>
        <w:keepLines w:val="0"/>
        <w:pageBreakBefore w:val="0"/>
        <w:widowControl w:val="0"/>
        <w:numPr>
          <w:ilvl w:val="0"/>
          <w:numId w:val="17"/>
        </w:numPr>
        <w:kinsoku/>
        <w:wordWrap/>
        <w:overflowPunct/>
        <w:topLinePunct w:val="0"/>
        <w:autoSpaceDE/>
        <w:autoSpaceDN/>
        <w:bidi w:val="0"/>
        <w:adjustRightInd/>
        <w:snapToGrid/>
        <w:spacing w:before="0" w:beforeAutospacing="0" w:after="0" w:afterAutospacing="0" w:line="240" w:lineRule="auto"/>
        <w:ind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提升服务业对外开放水平。</w:t>
      </w:r>
      <w:r>
        <w:rPr>
          <w:rStyle w:val="8"/>
          <w:rFonts w:ascii="Times New Roman" w:hAnsi="Times New Roman" w:eastAsia="方正仿宋_GBK"/>
          <w:b w:val="0"/>
          <w:bCs w:val="0"/>
          <w:i w:val="0"/>
          <w:caps w:val="0"/>
          <w:color w:val="000000"/>
          <w:spacing w:val="0"/>
          <w:w w:val="100"/>
          <w:kern w:val="2"/>
          <w:sz w:val="32"/>
          <w:szCs w:val="32"/>
          <w:lang w:val="en-US" w:eastAsia="zh-CN" w:bidi="ar-SA"/>
        </w:rPr>
        <w:t>努力向市级争取开放服务业领域试点，全面提升服务业水平。高水平打造开放合作平台，加快推进渝东南技术转移中心、院士专家工作站、大数据学院、黔江.北京智库、国家级科技企业孵化器等平台建设。健全跨部门综合协调机制，解决优势服务企业“走出去”遇到的重大问题，合力推动本土服务业产品、品牌走向国际市场。充分发挥各类商会和社会组织在行业自律、政府决策参谋、标准制订、调查研究、企业服务、合作交流等方面的作用。</w:t>
      </w:r>
    </w:p>
    <w:p>
      <w:pPr>
        <w:keepNext w:val="0"/>
        <w:keepLines w:val="0"/>
        <w:pageBreakBefore w:val="0"/>
        <w:widowControl w:val="0"/>
        <w:numPr>
          <w:ilvl w:val="0"/>
          <w:numId w:val="17"/>
        </w:numPr>
        <w:kinsoku/>
        <w:wordWrap/>
        <w:overflowPunct/>
        <w:topLinePunct w:val="0"/>
        <w:autoSpaceDE/>
        <w:autoSpaceDN/>
        <w:bidi w:val="0"/>
        <w:adjustRightInd/>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深入对接发达地区。</w:t>
      </w:r>
      <w:r>
        <w:rPr>
          <w:rStyle w:val="8"/>
          <w:rFonts w:ascii="Times New Roman" w:hAnsi="Times New Roman" w:eastAsia="方正仿宋_GBK"/>
          <w:b w:val="0"/>
          <w:bCs w:val="0"/>
          <w:i w:val="0"/>
          <w:caps w:val="0"/>
          <w:color w:val="000000"/>
          <w:spacing w:val="0"/>
          <w:w w:val="100"/>
          <w:kern w:val="2"/>
          <w:sz w:val="32"/>
          <w:szCs w:val="32"/>
          <w:lang w:val="en-US" w:eastAsia="zh-CN" w:bidi="ar-SA"/>
        </w:rPr>
        <w:t>以“开放黔江”为指导思想，深度参与国家“一带一路”和长江经济带政策，支持有条件的服务业企业沿“一带一路”和长江经济带走出去，积极参与沿线国家货物贸易及服务贸易；全面推动与武陵山地区的区域合作，加强与武陵山地区和渝东南片区的产业关联和配套，在商贸、旅游、会展等领域合作的基础上，进一步加强在教育、医疗、检测认证、创新科技和文化创意等领域的投资合作，主动参与承接东部城市群服务业的有序转移，更加注重引进先进技术、领军人才、新型业态和服务模式。吸引市内外知名企业和机构，鼓励研发中心、运营中心、采购中心等企业总部和知名服务业企业落户黔江区。</w:t>
      </w:r>
    </w:p>
    <w:p>
      <w:pPr>
        <w:keepNext w:val="0"/>
        <w:keepLines w:val="0"/>
        <w:pageBreakBefore w:val="0"/>
        <w:widowControl w:val="0"/>
        <w:numPr>
          <w:ilvl w:val="0"/>
          <w:numId w:val="17"/>
        </w:numPr>
        <w:kinsoku/>
        <w:wordWrap/>
        <w:overflowPunct/>
        <w:topLinePunct w:val="0"/>
        <w:autoSpaceDE/>
        <w:autoSpaceDN/>
        <w:bidi w:val="0"/>
        <w:adjustRightInd/>
        <w:snapToGrid/>
        <w:spacing w:before="0" w:beforeAutospacing="0" w:after="0" w:afterAutospacing="0" w:line="240" w:lineRule="auto"/>
        <w:ind w:left="0" w:leftChars="0" w:firstLine="632" w:firstLineChars="200"/>
        <w:jc w:val="both"/>
        <w:textAlignment w:val="baseline"/>
        <w:rPr>
          <w:rStyle w:val="8"/>
          <w:rFonts w:ascii="Times New Roman" w:hAnsi="Times New Roman" w:eastAsia="方正仿宋_GBK"/>
          <w:b w:val="0"/>
          <w:bCs w:val="0"/>
          <w:i w:val="0"/>
          <w:caps w:val="0"/>
          <w:color w:val="000000"/>
          <w:spacing w:val="0"/>
          <w:w w:val="100"/>
          <w:kern w:val="2"/>
          <w:sz w:val="32"/>
          <w:szCs w:val="32"/>
          <w:lang w:val="en-US" w:eastAsia="zh-CN" w:bidi="ar-SA"/>
        </w:rPr>
      </w:pPr>
      <w:r>
        <w:rPr>
          <w:rStyle w:val="8"/>
          <w:rFonts w:ascii="Times New Roman" w:hAnsi="Times New Roman" w:eastAsia="方正楷体_GBK"/>
          <w:b w:val="0"/>
          <w:i w:val="0"/>
          <w:caps w:val="0"/>
          <w:color w:val="000000"/>
          <w:spacing w:val="0"/>
          <w:w w:val="100"/>
          <w:kern w:val="2"/>
          <w:sz w:val="32"/>
          <w:szCs w:val="32"/>
          <w:lang w:val="en-US" w:eastAsia="zh-CN" w:bidi="ar-SA"/>
        </w:rPr>
        <w:t>强化区域分工协作。</w:t>
      </w:r>
      <w:r>
        <w:rPr>
          <w:rStyle w:val="8"/>
          <w:rFonts w:ascii="Times New Roman" w:hAnsi="Times New Roman" w:eastAsia="方正仿宋_GBK"/>
          <w:b w:val="0"/>
          <w:bCs w:val="0"/>
          <w:i w:val="0"/>
          <w:caps w:val="0"/>
          <w:color w:val="000000"/>
          <w:spacing w:val="0"/>
          <w:w w:val="100"/>
          <w:kern w:val="2"/>
          <w:sz w:val="32"/>
          <w:szCs w:val="32"/>
          <w:lang w:val="en-US" w:eastAsia="zh-CN" w:bidi="ar-SA"/>
        </w:rPr>
        <w:t>探索建立重庆市、黔江区及其他周边区县服务业发展协作制度，通过共同招商、共建物流园分园、武陵山片区旅游集散中心等形式，深入开展服务业产业协作，加快推动地区经济转型升级。按照规划共绘、交通共联、市场共构、产业共兴的要求，进一步推动建立渝东南城镇群区域合作新机制，促进现代物流、文化产业、信息服务等服务业重点领域在示范区内的融合发展。</w:t>
      </w:r>
    </w:p>
    <w:p>
      <w:pPr>
        <w:pStyle w:val="19"/>
        <w:snapToGrid/>
        <w:spacing w:before="0" w:beforeAutospacing="0" w:after="0" w:afterAutospacing="0" w:line="240" w:lineRule="auto"/>
        <w:ind w:left="0" w:leftChars="0" w:right="0" w:firstLine="420" w:firstLineChars="0"/>
        <w:jc w:val="center"/>
        <w:textAlignment w:val="baseline"/>
        <w:rPr>
          <w:rStyle w:val="8"/>
          <w:rFonts w:ascii="Times New Roman" w:hAnsi="Times New Roman" w:eastAsia="方正黑体_GBK"/>
          <w:b w:val="0"/>
          <w:i w:val="0"/>
          <w:caps w:val="0"/>
          <w:color w:val="000000"/>
          <w:spacing w:val="0"/>
          <w:w w:val="100"/>
          <w:sz w:val="32"/>
          <w:szCs w:val="32"/>
          <w:lang w:val="en-US" w:eastAsia="zh-CN"/>
        </w:rPr>
      </w:pPr>
      <w:bookmarkStart w:id="70" w:name="_Toc7278_WPSOffice_Level2"/>
      <w:r>
        <w:rPr>
          <w:rStyle w:val="8"/>
          <w:rFonts w:ascii="Times New Roman" w:hAnsi="Times New Roman" w:eastAsia="方正黑体_GBK"/>
          <w:b w:val="0"/>
          <w:i w:val="0"/>
          <w:caps w:val="0"/>
          <w:color w:val="000000"/>
          <w:spacing w:val="0"/>
          <w:w w:val="100"/>
          <w:sz w:val="30"/>
          <w:szCs w:val="30"/>
        </w:rPr>
        <w:t>专栏</w:t>
      </w:r>
      <w:r>
        <w:rPr>
          <w:rStyle w:val="8"/>
          <w:rFonts w:ascii="Times New Roman" w:hAnsi="Times New Roman" w:eastAsia="方正黑体_GBK"/>
          <w:b w:val="0"/>
          <w:i w:val="0"/>
          <w:caps w:val="0"/>
          <w:color w:val="000000"/>
          <w:spacing w:val="0"/>
          <w:w w:val="100"/>
          <w:sz w:val="30"/>
          <w:szCs w:val="30"/>
          <w:lang w:val="en-US" w:eastAsia="zh-CN"/>
        </w:rPr>
        <w:t>9</w:t>
      </w:r>
      <w:r>
        <w:rPr>
          <w:rStyle w:val="8"/>
          <w:rFonts w:ascii="Times New Roman" w:hAnsi="Times New Roman" w:eastAsia="方正黑体_GBK"/>
          <w:b w:val="0"/>
          <w:i w:val="0"/>
          <w:caps w:val="0"/>
          <w:color w:val="000000"/>
          <w:spacing w:val="0"/>
          <w:w w:val="100"/>
          <w:sz w:val="30"/>
          <w:szCs w:val="30"/>
        </w:rPr>
        <w:t>：</w:t>
      </w:r>
      <w:r>
        <w:rPr>
          <w:rStyle w:val="8"/>
          <w:rFonts w:ascii="Times New Roman" w:hAnsi="Times New Roman" w:eastAsia="方正黑体_GBK"/>
          <w:b w:val="0"/>
          <w:i w:val="0"/>
          <w:caps w:val="0"/>
          <w:color w:val="000000"/>
          <w:spacing w:val="0"/>
          <w:w w:val="100"/>
          <w:sz w:val="30"/>
          <w:szCs w:val="30"/>
          <w:lang w:val="en-US" w:eastAsia="zh-CN"/>
        </w:rPr>
        <w:t>打造开放的综合要素平台重点任务</w:t>
      </w:r>
      <w:bookmarkEnd w:id="70"/>
    </w:p>
    <w:tbl>
      <w:tblPr>
        <w:tblStyle w:val="5"/>
        <w:tblW w:w="8951" w:type="dxa"/>
        <w:jc w:val="center"/>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Layout w:type="fixed"/>
        <w:tblCellMar>
          <w:top w:w="0" w:type="dxa"/>
          <w:left w:w="0" w:type="dxa"/>
          <w:bottom w:w="0" w:type="dxa"/>
          <w:right w:w="0" w:type="dxa"/>
        </w:tblCellMar>
      </w:tblPr>
      <w:tblGrid>
        <w:gridCol w:w="8951"/>
      </w:tblGrid>
      <w:tr>
        <w:tblPrEx>
          <w:tblBorders>
            <w:top w:val="single" w:color="000000" w:sz="12" w:space="0"/>
            <w:left w:val="single" w:color="000000" w:sz="12" w:space="0"/>
            <w:bottom w:val="single" w:color="000000" w:sz="12" w:space="0"/>
            <w:right w:val="single" w:color="000000" w:sz="12" w:space="0"/>
            <w:insideH w:val="none" w:color="auto" w:sz="0" w:space="0"/>
            <w:insideV w:val="none" w:color="auto" w:sz="0" w:space="0"/>
          </w:tblBorders>
          <w:tblCellMar>
            <w:top w:w="0" w:type="dxa"/>
            <w:left w:w="0" w:type="dxa"/>
            <w:bottom w:w="0" w:type="dxa"/>
            <w:right w:w="0" w:type="dxa"/>
          </w:tblCellMar>
        </w:tblPrEx>
        <w:trPr>
          <w:jc w:val="center"/>
        </w:trPr>
        <w:tc>
          <w:tcPr>
            <w:tcW w:w="8951" w:type="dxa"/>
            <w:tcBorders>
              <w:top w:val="single" w:color="000000" w:sz="12" w:space="0"/>
              <w:left w:val="single" w:color="000000" w:sz="12" w:space="0"/>
              <w:bottom w:val="single" w:color="000000" w:sz="12" w:space="0"/>
              <w:right w:val="single" w:color="000000" w:sz="12" w:space="0"/>
            </w:tcBorders>
            <w:vAlign w:val="center"/>
          </w:tcPr>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建设高质量的物流枢纽平台：</w:t>
            </w:r>
            <w:r>
              <w:rPr>
                <w:rStyle w:val="8"/>
                <w:rFonts w:ascii="Times New Roman" w:hAnsi="Times New Roman" w:eastAsia="方正仿宋_GBK"/>
                <w:b w:val="0"/>
                <w:i w:val="0"/>
                <w:caps w:val="0"/>
                <w:color w:val="000000"/>
                <w:spacing w:val="-4"/>
                <w:w w:val="100"/>
                <w:kern w:val="0"/>
                <w:sz w:val="24"/>
                <w:szCs w:val="24"/>
                <w:lang w:val="en-US" w:eastAsia="zh-CN" w:bidi="ar-SA"/>
              </w:rPr>
              <w:t>以建设区域性对外开放高地为抓手，加快黔江机场航空口岸的硬件建设，积极推进450万吨铁路货场建设，提前启动散堆货场建设，开通沙坪坝团结村至广西钦州港等班列的甩挂运输业务，推动渝东南地区接入南向通道，把黔江作为“重庆—广西—东盟”国际铁路联运的重要站点。</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cs="Times New Roman"/>
                <w:b/>
                <w:bCs/>
                <w:i w:val="0"/>
                <w:caps w:val="0"/>
                <w:color w:val="000000"/>
                <w:spacing w:val="-4"/>
                <w:w w:val="100"/>
                <w:kern w:val="0"/>
                <w:sz w:val="24"/>
                <w:szCs w:val="24"/>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打造高水平的创新创业平台：</w:t>
            </w:r>
            <w:r>
              <w:rPr>
                <w:rStyle w:val="8"/>
                <w:rFonts w:ascii="Times New Roman" w:hAnsi="Times New Roman" w:eastAsia="方正仿宋_GBK"/>
                <w:b w:val="0"/>
                <w:i w:val="0"/>
                <w:caps w:val="0"/>
                <w:color w:val="000000"/>
                <w:spacing w:val="-4"/>
                <w:w w:val="100"/>
                <w:kern w:val="0"/>
                <w:sz w:val="24"/>
                <w:szCs w:val="24"/>
                <w:lang w:val="en-US" w:eastAsia="zh-CN" w:bidi="ar-SA"/>
              </w:rPr>
              <w:t>发挥市级高新区建设、院士专家工作站、渝东南技术转移中心的优势，持续实施科技型企业培育工程，让“政产学研金介”各个环节得到充分对接，使创新要素得到更高效率融合。</w:t>
            </w:r>
          </w:p>
          <w:p>
            <w:pPr>
              <w:snapToGrid w:val="0"/>
              <w:spacing w:before="0" w:beforeAutospacing="0" w:after="0" w:afterAutospacing="0" w:line="500" w:lineRule="exact"/>
              <w:ind w:firstLine="456" w:firstLineChars="200"/>
              <w:jc w:val="both"/>
              <w:textAlignment w:val="baseline"/>
              <w:rPr>
                <w:rStyle w:val="8"/>
                <w:rFonts w:ascii="Times New Roman" w:hAnsi="Times New Roman" w:eastAsia="方正仿宋_GBK"/>
                <w:b w:val="0"/>
                <w:i w:val="0"/>
                <w:caps w:val="0"/>
                <w:color w:val="000000"/>
                <w:spacing w:val="0"/>
                <w:w w:val="100"/>
                <w:kern w:val="2"/>
                <w:sz w:val="32"/>
                <w:lang w:val="en-US" w:eastAsia="zh-CN" w:bidi="ar-SA"/>
              </w:rPr>
            </w:pPr>
            <w:r>
              <w:rPr>
                <w:rStyle w:val="8"/>
                <w:rFonts w:ascii="Times New Roman" w:hAnsi="Times New Roman" w:eastAsia="方正仿宋_GBK" w:cs="Times New Roman"/>
                <w:b/>
                <w:bCs/>
                <w:i w:val="0"/>
                <w:caps w:val="0"/>
                <w:color w:val="000000"/>
                <w:spacing w:val="-4"/>
                <w:w w:val="100"/>
                <w:kern w:val="0"/>
                <w:sz w:val="24"/>
                <w:szCs w:val="24"/>
                <w:lang w:val="en-US" w:eastAsia="zh-CN" w:bidi="ar-SA"/>
              </w:rPr>
              <w:t>提升高品质的政务服务平台：</w:t>
            </w:r>
            <w:r>
              <w:rPr>
                <w:rStyle w:val="8"/>
                <w:rFonts w:ascii="Times New Roman" w:hAnsi="Times New Roman" w:eastAsia="方正仿宋_GBK"/>
                <w:b w:val="0"/>
                <w:i w:val="0"/>
                <w:caps w:val="0"/>
                <w:color w:val="000000"/>
                <w:spacing w:val="-4"/>
                <w:w w:val="100"/>
                <w:kern w:val="0"/>
                <w:sz w:val="24"/>
                <w:szCs w:val="24"/>
                <w:lang w:val="en-US" w:eastAsia="zh-CN" w:bidi="ar-SA"/>
              </w:rPr>
              <w:t>按照“政府引导、市场运作、服务企业”的原则，建强信息咨询、创业辅导、商务服务、人才招引、市场交易等生产性服务平台，建优智能交通、智慧旅游等领域的生活性服务平台，着力打造低成本、便利化、全要素、开放式的公共服务集聚平台。</w:t>
            </w:r>
          </w:p>
        </w:tc>
      </w:tr>
    </w:tbl>
    <w:p>
      <w:pPr>
        <w:pStyle w:val="10"/>
        <w:keepLines/>
        <w:pageBreakBefore w:val="0"/>
        <w:widowControl/>
        <w:numPr>
          <w:ilvl w:val="0"/>
          <w:numId w:val="4"/>
        </w:numPr>
        <w:kinsoku/>
        <w:wordWrap/>
        <w:overflowPunct/>
        <w:topLinePunct w:val="0"/>
        <w:autoSpaceDE/>
        <w:autoSpaceDN/>
        <w:bidi w:val="0"/>
        <w:adjustRightInd/>
        <w:snapToGrid/>
        <w:spacing w:before="0" w:beforeAutospacing="0" w:after="0" w:afterAutospacing="0" w:line="579" w:lineRule="exact"/>
        <w:ind w:leftChars="0" w:right="0" w:rightChars="0" w:firstLine="632" w:firstLineChars="200"/>
        <w:jc w:val="both"/>
        <w:textAlignment w:val="baseline"/>
        <w:rPr>
          <w:rStyle w:val="8"/>
          <w:rFonts w:ascii="方正黑体_GBK" w:hAnsi="方正黑体_GBK" w:eastAsia="方正黑体_GBK" w:cs="方正黑体_GBK"/>
          <w:b w:val="0"/>
          <w:bCs/>
          <w:i w:val="0"/>
          <w:caps w:val="0"/>
          <w:spacing w:val="0"/>
          <w:w w:val="100"/>
          <w:kern w:val="44"/>
          <w:sz w:val="32"/>
          <w:szCs w:val="32"/>
          <w:lang w:val="en-US" w:eastAsia="zh-CN" w:bidi="ar-SA"/>
        </w:rPr>
      </w:pPr>
      <w:bookmarkStart w:id="71" w:name="_Toc11844_WPSOffice_Level1"/>
      <w:r>
        <w:rPr>
          <w:rStyle w:val="8"/>
          <w:rFonts w:ascii="方正黑体_GBK" w:hAnsi="方正黑体_GBK" w:eastAsia="方正黑体_GBK" w:cs="方正黑体_GBK"/>
          <w:b w:val="0"/>
          <w:bCs/>
          <w:i w:val="0"/>
          <w:caps w:val="0"/>
          <w:spacing w:val="0"/>
          <w:w w:val="100"/>
          <w:kern w:val="44"/>
          <w:sz w:val="32"/>
          <w:szCs w:val="32"/>
          <w:lang w:val="en-US" w:eastAsia="zh-CN" w:bidi="ar-SA"/>
        </w:rPr>
        <w:t>保障措施</w:t>
      </w:r>
      <w:bookmarkEnd w:id="71"/>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2" w:name="_Toc29844_WPSOffice_Level2"/>
      <w:r>
        <w:rPr>
          <w:rStyle w:val="8"/>
          <w:rFonts w:hint="eastAsia" w:eastAsia="方正楷体_GBK"/>
          <w:b w:val="0"/>
          <w:i w:val="0"/>
          <w:caps w:val="0"/>
          <w:color w:val="000000"/>
          <w:spacing w:val="0"/>
          <w:w w:val="100"/>
          <w:kern w:val="2"/>
          <w:sz w:val="32"/>
          <w:szCs w:val="32"/>
          <w:lang w:val="en-US" w:eastAsia="zh-CN" w:bidi="ar-SA"/>
        </w:rPr>
        <w:t>（一）</w:t>
      </w:r>
      <w:r>
        <w:rPr>
          <w:rStyle w:val="8"/>
          <w:rFonts w:ascii="Times New Roman" w:hAnsi="Times New Roman" w:eastAsia="方正楷体_GBK"/>
          <w:b w:val="0"/>
          <w:i w:val="0"/>
          <w:caps w:val="0"/>
          <w:color w:val="000000"/>
          <w:spacing w:val="0"/>
          <w:w w:val="100"/>
          <w:kern w:val="2"/>
          <w:sz w:val="32"/>
          <w:szCs w:val="32"/>
          <w:lang w:val="en-US" w:eastAsia="zh-CN" w:bidi="ar-SA"/>
        </w:rPr>
        <w:t>加强组织领导</w:t>
      </w:r>
      <w:bookmarkEnd w:id="72"/>
    </w:p>
    <w:p>
      <w:pPr>
        <w:pageBreakBefore w:val="0"/>
        <w:widowControl/>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加强顶层设计、宏观指导、统筹规划、政策制定和综合协调，制定支持服务业高质量发展的政策措施及服务业各重点领域行动计划。建立服务业高质量发展工作联席会议制度，完善联席会议职责和工作机制，加强对全区服务业高质量发展的统筹协调。联席会议成员单位各司其职、密切配合，形成推进服务业高质量发展合力。完善服务业发展考核评价制度，强化对基层服务业工作的动态管理和考核评价。建立规划目标责任制，明确各部门工作任务，完善服务业考核指标，不断强化服务业发展后劲。加强服务业工作宣传力度，提高社会各层面对发展服务业的重视程度。</w:t>
      </w:r>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3" w:name="_Toc7302_WPSOffice_Level2"/>
      <w:r>
        <w:rPr>
          <w:rStyle w:val="8"/>
          <w:rFonts w:hint="eastAsia" w:eastAsia="方正楷体_GBK"/>
          <w:b w:val="0"/>
          <w:i w:val="0"/>
          <w:caps w:val="0"/>
          <w:color w:val="000000"/>
          <w:spacing w:val="0"/>
          <w:w w:val="100"/>
          <w:kern w:val="2"/>
          <w:sz w:val="32"/>
          <w:szCs w:val="32"/>
          <w:lang w:val="en-US" w:eastAsia="zh-CN" w:bidi="ar-SA"/>
        </w:rPr>
        <w:t>（二）</w:t>
      </w:r>
      <w:r>
        <w:rPr>
          <w:rStyle w:val="8"/>
          <w:rFonts w:ascii="Times New Roman" w:hAnsi="Times New Roman" w:eastAsia="方正楷体_GBK"/>
          <w:b w:val="0"/>
          <w:i w:val="0"/>
          <w:caps w:val="0"/>
          <w:color w:val="000000"/>
          <w:spacing w:val="0"/>
          <w:w w:val="100"/>
          <w:kern w:val="2"/>
          <w:sz w:val="32"/>
          <w:szCs w:val="32"/>
          <w:lang w:val="en-US" w:eastAsia="zh-CN" w:bidi="ar-SA"/>
        </w:rPr>
        <w:t>加大政策扶持</w:t>
      </w:r>
      <w:bookmarkEnd w:id="73"/>
    </w:p>
    <w:p>
      <w:pPr>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r>
        <w:rPr>
          <w:rStyle w:val="8"/>
          <w:rFonts w:ascii="Times New Roman" w:hAnsi="Times New Roman" w:eastAsia="方正仿宋_GBK"/>
          <w:b w:val="0"/>
          <w:i w:val="0"/>
          <w:caps w:val="0"/>
          <w:color w:val="000000"/>
          <w:spacing w:val="0"/>
          <w:w w:val="100"/>
          <w:kern w:val="2"/>
          <w:sz w:val="32"/>
          <w:szCs w:val="32"/>
          <w:lang w:val="en-US" w:eastAsia="zh-CN" w:bidi="ar-SA"/>
        </w:rPr>
        <w:t>发挥财政资金导向作用，支持服务业关键领域、重点区域、重点项目和薄弱环节加快发展。全面落实国家、市有关服务业发展的扶持政策，完善黔江区服务业发展扶持政策，优化财政资金支持方式和管理机制，提高服务业政策措施针对性和精准性，加大对大健康、文化旅游、现代商贸、现代物流等服务业发展的政策扶持，研究出台鼓励创新创业的政策措施，加强政策协调，扩大政策惠及面，有效激发全社会参与服务业发展的热情。</w:t>
      </w:r>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4" w:name="_Toc23154_WPSOffice_Level2"/>
      <w:r>
        <w:rPr>
          <w:rStyle w:val="8"/>
          <w:rFonts w:hint="eastAsia" w:eastAsia="方正楷体_GBK"/>
          <w:b w:val="0"/>
          <w:i w:val="0"/>
          <w:caps w:val="0"/>
          <w:color w:val="000000"/>
          <w:spacing w:val="0"/>
          <w:w w:val="100"/>
          <w:kern w:val="2"/>
          <w:sz w:val="32"/>
          <w:szCs w:val="32"/>
          <w:lang w:val="en-US" w:eastAsia="zh-CN" w:bidi="ar-SA"/>
        </w:rPr>
        <w:t>（三）</w:t>
      </w:r>
      <w:r>
        <w:rPr>
          <w:rStyle w:val="8"/>
          <w:rFonts w:ascii="Times New Roman" w:hAnsi="Times New Roman" w:eastAsia="方正楷体_GBK"/>
          <w:b w:val="0"/>
          <w:i w:val="0"/>
          <w:caps w:val="0"/>
          <w:color w:val="000000"/>
          <w:spacing w:val="0"/>
          <w:w w:val="100"/>
          <w:kern w:val="2"/>
          <w:sz w:val="32"/>
          <w:szCs w:val="32"/>
          <w:lang w:val="en-US" w:eastAsia="zh-CN" w:bidi="ar-SA"/>
        </w:rPr>
        <w:t>创新体制机制</w:t>
      </w:r>
      <w:bookmarkEnd w:id="74"/>
    </w:p>
    <w:p>
      <w:pPr>
        <w:pStyle w:val="19"/>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按照打造政策最优、成本最低、服务最好、办事最快的“四最”营商环境的要求，加大“只进一扇门、最多跑一次、一次不跑”改革力度，深化行政审批制度改革，继续通过简化程序、提高效率、增加透明度，为服务业企业投资经营提供优质的政务环境。不断完善公开透明、平等规范的市场准入制度，切实维护统一、开放、公平、有序的服务业市场环境。创新事前事中监管，建立市场监督监管工作会议机制，加强跨部门联合监管检查，提升监管效率。进一步优化舆论环境，运用各类媒体大力宣传服务业发展规划、扶持措施等，表彰奖励龙头企业和服务品牌，营造有利于服务业加快发展的社会氛围。辅导符合条件的企业推荐优势项目争取上级部门政策支持，及时发布服务业发展扶持政策、重大项目招商等相关信息，有效引导社会资本投资方向。推行服务承诺、服务公约和服务规范，提高服务业服务质量。</w:t>
      </w:r>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5" w:name="_Toc27289_WPSOffice_Level2"/>
      <w:r>
        <w:rPr>
          <w:rStyle w:val="8"/>
          <w:rFonts w:hint="eastAsia" w:eastAsia="方正楷体_GBK"/>
          <w:b w:val="0"/>
          <w:i w:val="0"/>
          <w:caps w:val="0"/>
          <w:color w:val="000000"/>
          <w:spacing w:val="0"/>
          <w:w w:val="100"/>
          <w:kern w:val="2"/>
          <w:sz w:val="32"/>
          <w:szCs w:val="32"/>
          <w:lang w:val="en-US" w:eastAsia="zh-CN" w:bidi="ar-SA"/>
        </w:rPr>
        <w:t>（四）</w:t>
      </w:r>
      <w:r>
        <w:rPr>
          <w:rStyle w:val="8"/>
          <w:rFonts w:ascii="Times New Roman" w:hAnsi="Times New Roman" w:eastAsia="方正楷体_GBK"/>
          <w:b w:val="0"/>
          <w:i w:val="0"/>
          <w:caps w:val="0"/>
          <w:color w:val="000000"/>
          <w:spacing w:val="0"/>
          <w:w w:val="100"/>
          <w:kern w:val="2"/>
          <w:sz w:val="32"/>
          <w:szCs w:val="32"/>
          <w:lang w:val="en-US" w:eastAsia="zh-CN" w:bidi="ar-SA"/>
        </w:rPr>
        <w:t>增强人才支撑</w:t>
      </w:r>
      <w:bookmarkEnd w:id="75"/>
    </w:p>
    <w:p>
      <w:pPr>
        <w:pStyle w:val="19"/>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发挥行业主管部门和企业主体作用，建立完善服务业领域企业家、创新创业人才和高层次管理人才引进培育机制，发展高级人才寻访。以知识资本化为核心，鼓励服务业企业采用技术入股、管理入股、股票期权激励等多种分配方式，吸引集聚领军人才。推动生产性服务人才专业化、生活性服务人才职业化发展，畅通非公经济组织人员和自由职业者职称申报渠道。强化匠心服务精神和职业素养。支持区内高校、职业学校加强服务业相关学科专业建设，探索订单式人才培养机制。落实灵活就业人员社会保险政策。高品质建设社区、医疗、教育、文化等公共服务设施，多样化发展满足服务业人才多层次需求的生活服务，高水平提供人性化、便利化的公共服务，形成宜居宜业的城市环境。</w:t>
      </w:r>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6" w:name="_Toc23245_WPSOffice_Level2"/>
      <w:r>
        <w:rPr>
          <w:rStyle w:val="8"/>
          <w:rFonts w:hint="eastAsia" w:eastAsia="方正楷体_GBK"/>
          <w:b w:val="0"/>
          <w:i w:val="0"/>
          <w:caps w:val="0"/>
          <w:color w:val="000000"/>
          <w:spacing w:val="0"/>
          <w:w w:val="100"/>
          <w:kern w:val="2"/>
          <w:sz w:val="32"/>
          <w:szCs w:val="32"/>
          <w:lang w:val="en-US" w:eastAsia="zh-CN" w:bidi="ar-SA"/>
        </w:rPr>
        <w:t>（五）</w:t>
      </w:r>
      <w:r>
        <w:rPr>
          <w:rStyle w:val="8"/>
          <w:rFonts w:ascii="Times New Roman" w:hAnsi="Times New Roman" w:eastAsia="方正楷体_GBK"/>
          <w:b w:val="0"/>
          <w:i w:val="0"/>
          <w:caps w:val="0"/>
          <w:color w:val="000000"/>
          <w:spacing w:val="0"/>
          <w:w w:val="100"/>
          <w:kern w:val="2"/>
          <w:sz w:val="32"/>
          <w:szCs w:val="32"/>
          <w:lang w:val="en-US" w:eastAsia="zh-CN" w:bidi="ar-SA"/>
        </w:rPr>
        <w:t>优化营商环境</w:t>
      </w:r>
      <w:bookmarkEnd w:id="76"/>
    </w:p>
    <w:p>
      <w:pPr>
        <w:pStyle w:val="19"/>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全面实施市场准入负面清单制度。坚决查处垄断协议、滥用市场支配地位和滥用行政权力排除、限制竞争的行为。对服务业新产业、新业态、新模式实施包容审慎监管，在质量监控、消费维权、税收征管等方面实施线上线下一体化管理。按照市场化运作方向和原则促进服务业行业协会规范发展，加快形成符合国际惯例、有利于产业升级的服务业行业协会群体，进一步发挥行业协会在制定服务业规范标准、引导产业升级和拓展业务等方面的作用，促进行业自律。加快推进服务市场诚信体系建设，推动守信联合激励和失信联合惩戒，构建以信用为基础的新型监管机制。强化服务业价格监管，及时查处消费侵权等问题。强化知识产权保护、完善质量标准体系，加大对专利侵权、假冒伪劣等的行政执法力度，打击不法行为，维护市场竞争，规范市场秩序，营造有利于产业健康发展的市场环境。</w:t>
      </w:r>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7" w:name="_Toc27879_WPSOffice_Level2"/>
      <w:r>
        <w:rPr>
          <w:rStyle w:val="8"/>
          <w:rFonts w:hint="eastAsia" w:eastAsia="方正楷体_GBK"/>
          <w:b w:val="0"/>
          <w:i w:val="0"/>
          <w:caps w:val="0"/>
          <w:color w:val="000000"/>
          <w:spacing w:val="0"/>
          <w:w w:val="100"/>
          <w:kern w:val="2"/>
          <w:sz w:val="32"/>
          <w:szCs w:val="32"/>
          <w:lang w:val="en-US" w:eastAsia="zh-CN" w:bidi="ar-SA"/>
        </w:rPr>
        <w:t>（六）</w:t>
      </w:r>
      <w:r>
        <w:rPr>
          <w:rStyle w:val="8"/>
          <w:rFonts w:ascii="Times New Roman" w:hAnsi="Times New Roman" w:eastAsia="方正楷体_GBK"/>
          <w:b w:val="0"/>
          <w:i w:val="0"/>
          <w:caps w:val="0"/>
          <w:color w:val="000000"/>
          <w:spacing w:val="0"/>
          <w:w w:val="100"/>
          <w:kern w:val="2"/>
          <w:sz w:val="32"/>
          <w:szCs w:val="32"/>
          <w:lang w:val="en-US" w:eastAsia="zh-CN" w:bidi="ar-SA"/>
        </w:rPr>
        <w:t>强化要素保障</w:t>
      </w:r>
      <w:bookmarkEnd w:id="77"/>
    </w:p>
    <w:p>
      <w:pPr>
        <w:pStyle w:val="19"/>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优化建设用地供给结构，逐步提高服务业用地比重，优先支持鼓励发展的服务业项目。对重点支持的服务业项目用地，在条件允许的情况下，可适当提高开发建设强度。盘活闲置土地资源，支持利用闲置厂房、仓库、楼宇等闲置房产兴办文化创意、科技服务和信息服务等现代服务业。鼓励用地单位在不改变用地主体、不重新开发建设等前提下，充分利用工业厂房、仓储用房等存量房产，兴办新兴服务业。强化金融保障。鼓励各类创业投资机构、风险投资机构、信用担保机构面向服务业企业开展业务，拓宽企业融资渠道，扩大直接融资比例，降低融资成本。积极争取国家、市相关专项资金。综合运用股权投资、贷款贴息和事后奖励等多种方式，加大重点片区及专业集聚区的服务设施投入，支持服务业关键领域、薄弱环节发展和公共服务平台建设。</w:t>
      </w:r>
    </w:p>
    <w:p>
      <w:pPr>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auto"/>
        <w:ind w:leftChars="0" w:right="0" w:rightChars="0" w:firstLine="632" w:firstLineChars="200"/>
        <w:jc w:val="both"/>
        <w:textAlignment w:val="baseline"/>
        <w:rPr>
          <w:rStyle w:val="8"/>
          <w:rFonts w:ascii="Times New Roman" w:hAnsi="Times New Roman" w:eastAsia="方正楷体_GBK"/>
          <w:b w:val="0"/>
          <w:i w:val="0"/>
          <w:caps w:val="0"/>
          <w:color w:val="000000"/>
          <w:spacing w:val="0"/>
          <w:w w:val="100"/>
          <w:kern w:val="2"/>
          <w:sz w:val="32"/>
          <w:szCs w:val="32"/>
          <w:lang w:val="en-US" w:eastAsia="zh-CN" w:bidi="ar-SA"/>
        </w:rPr>
      </w:pPr>
      <w:bookmarkStart w:id="78" w:name="_Toc110_WPSOffice_Level2"/>
      <w:r>
        <w:rPr>
          <w:rStyle w:val="8"/>
          <w:rFonts w:hint="eastAsia" w:eastAsia="方正楷体_GBK"/>
          <w:b w:val="0"/>
          <w:i w:val="0"/>
          <w:caps w:val="0"/>
          <w:color w:val="000000"/>
          <w:spacing w:val="0"/>
          <w:w w:val="100"/>
          <w:kern w:val="2"/>
          <w:sz w:val="32"/>
          <w:szCs w:val="32"/>
          <w:lang w:val="en-US" w:eastAsia="zh-CN" w:bidi="ar-SA"/>
        </w:rPr>
        <w:t>（七）</w:t>
      </w:r>
      <w:r>
        <w:rPr>
          <w:rStyle w:val="8"/>
          <w:rFonts w:ascii="Times New Roman" w:hAnsi="Times New Roman" w:eastAsia="方正楷体_GBK"/>
          <w:b w:val="0"/>
          <w:i w:val="0"/>
          <w:caps w:val="0"/>
          <w:color w:val="000000"/>
          <w:spacing w:val="0"/>
          <w:w w:val="100"/>
          <w:kern w:val="2"/>
          <w:sz w:val="32"/>
          <w:szCs w:val="32"/>
          <w:lang w:val="en-US" w:eastAsia="zh-CN" w:bidi="ar-SA"/>
        </w:rPr>
        <w:t>加强统计监测</w:t>
      </w:r>
      <w:bookmarkEnd w:id="78"/>
    </w:p>
    <w:p>
      <w:pPr>
        <w:pStyle w:val="19"/>
        <w:pageBreakBefore w:val="0"/>
        <w:widowControl/>
        <w:kinsoku/>
        <w:wordWrap/>
        <w:overflowPunct/>
        <w:topLinePunct w:val="0"/>
        <w:autoSpaceDE/>
        <w:autoSpaceDN/>
        <w:bidi w:val="0"/>
        <w:adjustRightInd/>
        <w:snapToGrid/>
        <w:spacing w:before="0" w:beforeAutospacing="0" w:after="0" w:afterAutospacing="0" w:line="240" w:lineRule="auto"/>
        <w:ind w:left="0" w:leftChars="0" w:right="0" w:rightChars="0" w:firstLine="632" w:firstLineChars="200"/>
        <w:jc w:val="both"/>
        <w:textAlignment w:val="baseline"/>
        <w:rPr>
          <w:rStyle w:val="8"/>
          <w:rFonts w:ascii="Times New Roman" w:hAnsi="Times New Roman"/>
          <w:b w:val="0"/>
          <w:i w:val="0"/>
          <w:caps w:val="0"/>
          <w:color w:val="000000"/>
          <w:spacing w:val="0"/>
          <w:w w:val="100"/>
          <w:sz w:val="32"/>
          <w:szCs w:val="32"/>
          <w:lang w:val="en-US" w:eastAsia="zh-CN"/>
        </w:rPr>
      </w:pPr>
      <w:r>
        <w:rPr>
          <w:rStyle w:val="8"/>
          <w:rFonts w:ascii="Times New Roman" w:hAnsi="Times New Roman" w:eastAsia="方正仿宋_GBK"/>
          <w:b w:val="0"/>
          <w:i w:val="0"/>
          <w:caps w:val="0"/>
          <w:color w:val="000000"/>
          <w:spacing w:val="0"/>
          <w:w w:val="100"/>
          <w:sz w:val="32"/>
          <w:szCs w:val="32"/>
          <w:lang w:val="en-US" w:eastAsia="zh-CN"/>
        </w:rPr>
        <w:t>以国民经济行业分类标准为基础，贯彻落实符合产业发展新趋势、准确反映服务业发展状况的分类标准和统计指标体系，执行符合服务业高质量发展要求的服务业统计调查制度，切实提高服务业的统计数据质量和统计公信力，为服务业发展提供决策支撑和考核标准。加强对服务业发展的分析监测工作，全面跟踪服务业总体规模、行业结构、区域分布、经济效益等基础数据，提高分析监测的针对性和有效性，及时反映服务业发展中的新情况、新问题，采取有效措施确保服务业健康平稳发展。逐步建立服务业统计信息定期发布制度，建立健全服务业重点领域统计信息在部门间的共享机制，逐步形成年度、季度信息发布机制</w:t>
      </w:r>
      <w:r>
        <w:rPr>
          <w:rStyle w:val="8"/>
          <w:rFonts w:ascii="Times New Roman" w:hAnsi="Times New Roman"/>
          <w:b w:val="0"/>
          <w:i w:val="0"/>
          <w:caps w:val="0"/>
          <w:color w:val="000000"/>
          <w:spacing w:val="0"/>
          <w:w w:val="100"/>
          <w:sz w:val="32"/>
          <w:szCs w:val="32"/>
          <w:lang w:val="en-US" w:eastAsia="zh-CN"/>
        </w:rPr>
        <w:t>。</w:t>
      </w:r>
    </w:p>
    <w:p>
      <w:pPr>
        <w:pStyle w:val="19"/>
        <w:snapToGrid/>
        <w:spacing w:before="0" w:beforeAutospacing="0" w:after="0" w:afterAutospacing="0" w:line="240" w:lineRule="auto"/>
        <w:ind w:left="0" w:leftChars="0" w:right="320" w:firstLine="632" w:firstLineChars="200"/>
        <w:jc w:val="both"/>
        <w:textAlignment w:val="baseline"/>
        <w:rPr>
          <w:rStyle w:val="8"/>
          <w:rFonts w:ascii="Times New Roman" w:hAnsi="Times New Roman"/>
          <w:b w:val="0"/>
          <w:i w:val="0"/>
          <w:caps w:val="0"/>
          <w:color w:val="000000"/>
          <w:spacing w:val="0"/>
          <w:w w:val="100"/>
          <w:sz w:val="32"/>
          <w:szCs w:val="32"/>
          <w:lang w:val="en-US" w:eastAsia="zh-CN"/>
        </w:rPr>
      </w:pPr>
    </w:p>
    <w:p>
      <w:pPr>
        <w:pStyle w:val="19"/>
        <w:snapToGrid/>
        <w:spacing w:before="0" w:beforeAutospacing="0" w:after="0" w:afterAutospacing="0" w:line="240" w:lineRule="auto"/>
        <w:ind w:left="1580" w:leftChars="200" w:right="320" w:hanging="948"/>
        <w:jc w:val="both"/>
        <w:textAlignment w:val="baseline"/>
        <w:rPr>
          <w:rStyle w:val="8"/>
          <w:rFonts w:ascii="Times New Roman" w:hAnsi="Times New Roman" w:eastAsia="方正仿宋_GBK"/>
          <w:b w:val="0"/>
          <w:i w:val="0"/>
          <w:caps w:val="0"/>
          <w:color w:val="000000"/>
          <w:spacing w:val="0"/>
          <w:w w:val="100"/>
          <w:sz w:val="32"/>
          <w:szCs w:val="32"/>
          <w:lang w:val="en-US" w:eastAsia="zh-CN"/>
        </w:rPr>
      </w:pPr>
      <w:r>
        <w:rPr>
          <w:rStyle w:val="8"/>
          <w:rFonts w:ascii="Times New Roman" w:hAnsi="Times New Roman"/>
          <w:b w:val="0"/>
          <w:i w:val="0"/>
          <w:caps w:val="0"/>
          <w:color w:val="000000"/>
          <w:spacing w:val="0"/>
          <w:w w:val="100"/>
          <w:sz w:val="32"/>
          <w:szCs w:val="32"/>
          <w:lang w:val="en-US" w:eastAsia="zh-CN"/>
        </w:rPr>
        <w:t>附件：黔江区服务业高质量发展“十四五”规划重大项目表</w:t>
      </w:r>
    </w:p>
    <w:p>
      <w:pPr>
        <w:pStyle w:val="19"/>
        <w:snapToGrid/>
        <w:spacing w:before="0" w:beforeAutospacing="0" w:after="0" w:afterAutospacing="0" w:line="240" w:lineRule="auto"/>
        <w:ind w:left="0" w:leftChars="0" w:right="320" w:firstLine="420" w:firstLineChars="0"/>
        <w:jc w:val="both"/>
        <w:textAlignment w:val="baseline"/>
        <w:rPr>
          <w:rStyle w:val="8"/>
          <w:rFonts w:ascii="Times New Roman" w:hAnsi="Times New Roman" w:eastAsia="方正仿宋_GBK"/>
          <w:b w:val="0"/>
          <w:i w:val="0"/>
          <w:caps w:val="0"/>
          <w:color w:val="000000"/>
          <w:spacing w:val="0"/>
          <w:w w:val="100"/>
          <w:sz w:val="32"/>
          <w:szCs w:val="32"/>
          <w:lang w:val="en-US" w:eastAsia="zh-CN"/>
        </w:rPr>
        <w:sectPr>
          <w:headerReference r:id="rId11" w:type="default"/>
          <w:footerReference r:id="rId12" w:type="default"/>
          <w:footerReference r:id="rId13" w:type="even"/>
          <w:pgSz w:w="11906" w:h="16838"/>
          <w:pgMar w:top="2098" w:right="1474" w:bottom="1984" w:left="1587" w:header="851" w:footer="1474" w:gutter="0"/>
          <w:lnNumType w:countBy="0"/>
          <w:pgNumType w:fmt="decimal" w:start="1"/>
          <w:cols w:space="425" w:num="1"/>
          <w:docGrid w:type="linesAndChars" w:linePitch="589" w:charSpace="-842"/>
        </w:sectPr>
      </w:pPr>
    </w:p>
    <w:p>
      <w:pPr>
        <w:pStyle w:val="19"/>
        <w:snapToGrid/>
        <w:spacing w:before="0" w:beforeAutospacing="0" w:after="157" w:afterAutospacing="0" w:line="560" w:lineRule="exact"/>
        <w:ind w:left="0" w:leftChars="0" w:right="320" w:firstLine="420" w:firstLineChars="0"/>
        <w:jc w:val="both"/>
        <w:textAlignment w:val="baseline"/>
        <w:rPr>
          <w:rStyle w:val="8"/>
          <w:rFonts w:ascii="方正黑体_GBK" w:hAnsi="方正黑体_GBK" w:eastAsia="方正黑体_GBK"/>
          <w:b w:val="0"/>
          <w:bCs w:val="0"/>
          <w:i w:val="0"/>
          <w:caps w:val="0"/>
          <w:color w:val="000000"/>
          <w:spacing w:val="0"/>
          <w:w w:val="100"/>
          <w:sz w:val="32"/>
          <w:szCs w:val="32"/>
        </w:rPr>
      </w:pPr>
      <w:r>
        <w:rPr>
          <w:rStyle w:val="8"/>
          <w:rFonts w:ascii="方正黑体_GBK" w:hAnsi="方正黑体_GBK" w:eastAsia="方正黑体_GBK"/>
          <w:b w:val="0"/>
          <w:bCs w:val="0"/>
          <w:i w:val="0"/>
          <w:caps w:val="0"/>
          <w:color w:val="000000"/>
          <w:spacing w:val="0"/>
          <w:w w:val="100"/>
          <w:sz w:val="32"/>
          <w:szCs w:val="32"/>
        </w:rPr>
        <w:t>附件</w:t>
      </w:r>
    </w:p>
    <w:p>
      <w:pPr>
        <w:snapToGrid/>
        <w:spacing w:before="0" w:beforeAutospacing="0" w:after="157" w:afterAutospacing="0" w:line="560" w:lineRule="exact"/>
        <w:ind w:firstLine="771" w:firstLineChars="177"/>
        <w:jc w:val="center"/>
        <w:textAlignment w:val="baseline"/>
        <w:rPr>
          <w:rStyle w:val="8"/>
          <w:rFonts w:ascii="Times New Roman" w:hAnsi="Times New Roman" w:eastAsia="方正小标宋_GBK"/>
          <w:b w:val="0"/>
          <w:bCs w:val="0"/>
          <w:i w:val="0"/>
          <w:caps w:val="0"/>
          <w:color w:val="000000"/>
          <w:spacing w:val="0"/>
          <w:w w:val="100"/>
          <w:kern w:val="2"/>
          <w:sz w:val="44"/>
          <w:szCs w:val="44"/>
          <w:lang w:val="en-US" w:eastAsia="zh-CN" w:bidi="ar-SA"/>
        </w:rPr>
      </w:pPr>
      <w:bookmarkStart w:id="79" w:name="_Toc17970_WPSOffice_Level1"/>
      <w:r>
        <w:rPr>
          <w:rStyle w:val="8"/>
          <w:rFonts w:ascii="Times New Roman" w:hAnsi="Times New Roman" w:eastAsia="方正小标宋_GBK"/>
          <w:b w:val="0"/>
          <w:bCs w:val="0"/>
          <w:i w:val="0"/>
          <w:caps w:val="0"/>
          <w:color w:val="000000"/>
          <w:spacing w:val="0"/>
          <w:w w:val="100"/>
          <w:kern w:val="2"/>
          <w:sz w:val="44"/>
          <w:szCs w:val="44"/>
          <w:lang w:val="en-US" w:eastAsia="zh-CN" w:bidi="ar-SA"/>
        </w:rPr>
        <w:t>黔江区服务业高质量发展“十四五”规划重大项目表</w:t>
      </w:r>
      <w:bookmarkEnd w:id="79"/>
    </w:p>
    <w:tbl>
      <w:tblPr>
        <w:tblStyle w:val="5"/>
        <w:tblW w:w="1568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0"/>
        <w:gridCol w:w="2535"/>
        <w:gridCol w:w="7604"/>
        <w:gridCol w:w="1725"/>
        <w:gridCol w:w="1320"/>
        <w:gridCol w:w="1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0" w:hRule="atLeast"/>
          <w:tblHeader/>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方正黑体_GBK" w:hAnsi="方正黑体_GBK" w:eastAsia="方正黑体_GBK"/>
                <w:b w:val="0"/>
                <w:bCs w:val="0"/>
                <w:i w:val="0"/>
                <w:iCs w:val="0"/>
                <w:caps w:val="0"/>
                <w:color w:val="000000"/>
                <w:spacing w:val="0"/>
                <w:w w:val="100"/>
                <w:kern w:val="2"/>
                <w:sz w:val="24"/>
                <w:szCs w:val="24"/>
                <w:lang w:val="en-US" w:eastAsia="zh-CN" w:bidi="ar-SA"/>
              </w:rPr>
            </w:pPr>
            <w:r>
              <w:rPr>
                <w:rStyle w:val="8"/>
                <w:rFonts w:ascii="方正黑体_GBK" w:hAnsi="方正黑体_GBK" w:eastAsia="方正黑体_GBK"/>
                <w:b w:val="0"/>
                <w:bCs w:val="0"/>
                <w:i w:val="0"/>
                <w:iCs w:val="0"/>
                <w:caps w:val="0"/>
                <w:color w:val="000000"/>
                <w:spacing w:val="0"/>
                <w:w w:val="100"/>
                <w:kern w:val="0"/>
                <w:sz w:val="24"/>
                <w:szCs w:val="24"/>
                <w:lang w:val="en-US" w:eastAsia="zh-CN"/>
              </w:rPr>
              <w:t>序号</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方正黑体_GBK" w:hAnsi="方正黑体_GBK" w:eastAsia="方正黑体_GBK"/>
                <w:b w:val="0"/>
                <w:bCs w:val="0"/>
                <w:i w:val="0"/>
                <w:iCs w:val="0"/>
                <w:caps w:val="0"/>
                <w:color w:val="000000"/>
                <w:spacing w:val="0"/>
                <w:w w:val="100"/>
                <w:kern w:val="2"/>
                <w:sz w:val="24"/>
                <w:szCs w:val="24"/>
                <w:lang w:val="en-US" w:eastAsia="zh-CN" w:bidi="ar-SA"/>
              </w:rPr>
            </w:pPr>
            <w:r>
              <w:rPr>
                <w:rStyle w:val="8"/>
                <w:rFonts w:ascii="方正黑体_GBK" w:hAnsi="方正黑体_GBK" w:eastAsia="方正黑体_GBK"/>
                <w:b w:val="0"/>
                <w:bCs w:val="0"/>
                <w:i w:val="0"/>
                <w:iCs w:val="0"/>
                <w:caps w:val="0"/>
                <w:color w:val="000000"/>
                <w:spacing w:val="0"/>
                <w:w w:val="100"/>
                <w:kern w:val="0"/>
                <w:sz w:val="24"/>
                <w:szCs w:val="24"/>
                <w:lang w:val="en-US" w:eastAsia="zh-CN"/>
              </w:rPr>
              <w:t>项目名称</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方正黑体_GBK" w:hAnsi="方正黑体_GBK" w:eastAsia="方正黑体_GBK"/>
                <w:b w:val="0"/>
                <w:bCs w:val="0"/>
                <w:i w:val="0"/>
                <w:iCs w:val="0"/>
                <w:caps w:val="0"/>
                <w:color w:val="000000"/>
                <w:spacing w:val="0"/>
                <w:w w:val="100"/>
                <w:kern w:val="2"/>
                <w:sz w:val="24"/>
                <w:szCs w:val="24"/>
                <w:lang w:val="en-US" w:eastAsia="zh-CN" w:bidi="ar-SA"/>
              </w:rPr>
            </w:pPr>
            <w:r>
              <w:rPr>
                <w:rStyle w:val="8"/>
                <w:rFonts w:ascii="方正黑体_GBK" w:hAnsi="方正黑体_GBK" w:eastAsia="方正黑体_GBK"/>
                <w:b w:val="0"/>
                <w:bCs w:val="0"/>
                <w:i w:val="0"/>
                <w:iCs w:val="0"/>
                <w:caps w:val="0"/>
                <w:color w:val="000000"/>
                <w:spacing w:val="0"/>
                <w:w w:val="100"/>
                <w:kern w:val="0"/>
                <w:sz w:val="24"/>
                <w:szCs w:val="24"/>
                <w:lang w:val="en-US" w:eastAsia="zh-CN"/>
              </w:rPr>
              <w:t>建设内容</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方正黑体_GBK" w:hAnsi="方正黑体_GBK" w:eastAsia="方正黑体_GBK"/>
                <w:b w:val="0"/>
                <w:bCs w:val="0"/>
                <w:i w:val="0"/>
                <w:iCs w:val="0"/>
                <w:caps w:val="0"/>
                <w:color w:val="000000"/>
                <w:spacing w:val="0"/>
                <w:w w:val="100"/>
                <w:kern w:val="2"/>
                <w:sz w:val="24"/>
                <w:szCs w:val="24"/>
                <w:lang w:val="en-US" w:eastAsia="zh-CN" w:bidi="ar-SA"/>
              </w:rPr>
            </w:pPr>
            <w:r>
              <w:rPr>
                <w:rStyle w:val="8"/>
                <w:rFonts w:ascii="方正黑体_GBK" w:hAnsi="方正黑体_GBK" w:eastAsia="方正黑体_GBK"/>
                <w:b w:val="0"/>
                <w:bCs w:val="0"/>
                <w:i w:val="0"/>
                <w:iCs w:val="0"/>
                <w:caps w:val="0"/>
                <w:color w:val="000000"/>
                <w:spacing w:val="0"/>
                <w:w w:val="100"/>
                <w:kern w:val="0"/>
                <w:sz w:val="24"/>
                <w:szCs w:val="24"/>
                <w:lang w:val="en-US" w:eastAsia="zh-CN"/>
              </w:rPr>
              <w:t>预估投资费用</w:t>
            </w:r>
            <w:r>
              <w:rPr>
                <w:rStyle w:val="8"/>
                <w:rFonts w:ascii="方正黑体_GBK" w:hAnsi="方正黑体_GBK" w:eastAsia="方正黑体_GBK"/>
                <w:b w:val="0"/>
                <w:bCs w:val="0"/>
                <w:i w:val="0"/>
                <w:iCs w:val="0"/>
                <w:caps w:val="0"/>
                <w:color w:val="000000"/>
                <w:spacing w:val="0"/>
                <w:w w:val="100"/>
                <w:kern w:val="0"/>
                <w:sz w:val="24"/>
                <w:szCs w:val="24"/>
                <w:lang w:val="en-US" w:eastAsia="zh-CN"/>
              </w:rPr>
              <w:br w:type="textWrapping"/>
            </w:r>
            <w:r>
              <w:rPr>
                <w:rStyle w:val="8"/>
                <w:rFonts w:ascii="方正黑体_GBK" w:hAnsi="方正黑体_GBK" w:eastAsia="方正黑体_GBK"/>
                <w:b w:val="0"/>
                <w:bCs w:val="0"/>
                <w:i w:val="0"/>
                <w:iCs w:val="0"/>
                <w:caps w:val="0"/>
                <w:color w:val="000000"/>
                <w:spacing w:val="0"/>
                <w:w w:val="100"/>
                <w:kern w:val="0"/>
                <w:sz w:val="24"/>
                <w:szCs w:val="24"/>
                <w:lang w:val="en-US" w:eastAsia="zh-CN"/>
              </w:rPr>
              <w:t>（万元）</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方正黑体_GBK" w:hAnsi="方正黑体_GBK" w:eastAsia="方正黑体_GBK"/>
                <w:b w:val="0"/>
                <w:bCs w:val="0"/>
                <w:i w:val="0"/>
                <w:iCs w:val="0"/>
                <w:caps w:val="0"/>
                <w:color w:val="000000"/>
                <w:spacing w:val="0"/>
                <w:w w:val="100"/>
                <w:kern w:val="2"/>
                <w:sz w:val="24"/>
                <w:szCs w:val="24"/>
                <w:lang w:val="en-US" w:eastAsia="zh-CN" w:bidi="ar-SA"/>
              </w:rPr>
            </w:pPr>
            <w:r>
              <w:rPr>
                <w:rStyle w:val="8"/>
                <w:rFonts w:ascii="方正黑体_GBK" w:hAnsi="方正黑体_GBK" w:eastAsia="方正黑体_GBK"/>
                <w:b w:val="0"/>
                <w:bCs w:val="0"/>
                <w:i w:val="0"/>
                <w:iCs w:val="0"/>
                <w:caps w:val="0"/>
                <w:color w:val="000000"/>
                <w:spacing w:val="0"/>
                <w:w w:val="100"/>
                <w:kern w:val="0"/>
                <w:sz w:val="24"/>
                <w:szCs w:val="24"/>
                <w:lang w:val="en-US" w:eastAsia="zh-CN"/>
              </w:rPr>
              <w:t>建设时间</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方正黑体_GBK" w:hAnsi="方正黑体_GBK" w:eastAsia="方正黑体_GBK"/>
                <w:b w:val="0"/>
                <w:bCs w:val="0"/>
                <w:i w:val="0"/>
                <w:iCs w:val="0"/>
                <w:caps w:val="0"/>
                <w:color w:val="000000"/>
                <w:spacing w:val="0"/>
                <w:w w:val="100"/>
                <w:kern w:val="2"/>
                <w:sz w:val="24"/>
                <w:szCs w:val="24"/>
                <w:lang w:val="en-US" w:eastAsia="zh-CN" w:bidi="ar-SA"/>
              </w:rPr>
            </w:pPr>
            <w:r>
              <w:rPr>
                <w:rStyle w:val="8"/>
                <w:rFonts w:ascii="方正黑体_GBK" w:hAnsi="方正黑体_GBK" w:eastAsia="方正黑体_GBK"/>
                <w:b w:val="0"/>
                <w:bCs w:val="0"/>
                <w:i w:val="0"/>
                <w:iCs w:val="0"/>
                <w:caps w:val="0"/>
                <w:color w:val="000000"/>
                <w:spacing w:val="0"/>
                <w:w w:val="100"/>
                <w:kern w:val="0"/>
                <w:sz w:val="24"/>
                <w:szCs w:val="24"/>
                <w:lang w:val="en-US" w:eastAsia="zh-CN"/>
              </w:rPr>
              <w:t>责任单位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jc w:val="center"/>
        </w:trPr>
        <w:tc>
          <w:tcPr>
            <w:tcW w:w="10979" w:type="dxa"/>
            <w:gridSpan w:val="3"/>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合计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7601515</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一</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优势服务业项目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7022694</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（一）</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文化旅游</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4931050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中国峡谷城项目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项目开发范围约4.5平方公里，景区开发用地约500亩，以产城景融合发展为核心，主要开发峡中峡、茶山公园、生基湾溶洞群、观音岩洞中栈道、峡谷观光小火车等项目，力争创建国家AAAAA景区。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2021-2030</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三塘盖国际旅游康养度假区项目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山地生态养生养老项目和山地体育运动、农业文化旅游项目。一期工程建设内容包括沙坝至三塘盖旅游公路、生态康养特色小镇（一期）、田园综合体、部分运动设施、悬崖酒店建设和景区基础设施及环境整治等；二期工程建设内容包括生态康养特色小镇（二期）、体育运动特色小镇和农业观光旅游设施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1200000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黔江区濯水国际旅游度假区项目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对濯水景区进行升级与扩容，打造古镇景观、高端民宿、酒店、餐饮、康养等综合业态，规划濯水古镇片区、颐养社区、儿童游乐区、高端度假区、自然观光区五个功能片区。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800000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2021-2028</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武陵山旅游集散中心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项目占地200亩，建筑面积约8万平方米及配套设施建设。内设咨询服务中心、宣传营销中心、旅游商品展示展销中心、旅游线路服务中心(旅游专线客运)、培训中心、智慧旅游中心及配套旅游酒店等设施建设。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黔江区官村创4A景区项目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规划景区面积1.58平方公里，建成乡村旅游、亲子休闲、兵屯文化主题乐园于一体的国家4A景区，配套游客接待中心、道路、停车场等基础设施建设项目。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26000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黔江区官渡峡景区升级改造项目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将官渡洲、苗家水寨、一线天、神女峰、悬棺群、媒矿遗址、凉风洞等旅游资源进行整合打造，结合整体旅游线路，将官渡洲作为本区域的旅游集散中心。恢复打造苗家水寨、苗家水寨城墙寨楼寨门、水寨吊桥、新建篝火广场、新建水寨连接道路、新建码头两处、接待设施、神庙维修及步游道改造、打造白水泉神女峰。以毛家坝、凡家坝为中心，打造高端商务、私人度假及休疗养为主要功能的高端休疗养度假区。以冯家鱼滩为中心打造国际溪钓基地，开发一定规模的水上娱乐运动，同时开发岸滩用地，打造野餐露营等自助旅游度假景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64050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濯水实景演艺项目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采取实景与浸没式的演出方式，以濯水古街和阿蓬江为演出动线，结合黔江民族历史文化编排剧本与舞曲，运用声、光、电等现代科技技术手段打造的实景演艺项目。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12000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2020-2021</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黔江区峡谷城景区夜游项目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该项目规划面积约600亩，主要是以宗家文化、土家文化为文化发展脉络，结合景区现有景观设施，针对老鹰关、中心广场、拜佛台、观音像、佛音坪、平台步道等重要节点打造山体光雕、夜游森林、土家剧场、晚间集市四大夜游业态。</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57000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黔江区濯水蒲花水乡高端民宿开发项目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该项目占地约200亩，该项目主要是对濯水景区白鹤坝对面地块和花田片区进行开发，打造以蒲花河岸民宿为核心的民宿特色街区，打造濯水景区精品民宿，树立古镇民宿集群示范新标杆。</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90000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黔江区濯水古镇特色小镇产业协同发展平台配套设施项目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改建武陵山区文旅融合展示展演中心及配套旅游商品展示展销中心约10000平方米，改建武陵山区特色产品交易市场约10000平</w:t>
            </w:r>
            <w:r>
              <w:rPr>
                <w:rStyle w:val="8"/>
                <w:rFonts w:hint="eastAsia"/>
                <w:b w:val="0"/>
                <w:i w:val="0"/>
                <w:iCs w:val="0"/>
                <w:caps w:val="0"/>
                <w:color w:val="000000"/>
                <w:spacing w:val="0"/>
                <w:w w:val="100"/>
                <w:kern w:val="0"/>
                <w:sz w:val="24"/>
                <w:szCs w:val="24"/>
                <w:lang w:val="en-US" w:eastAsia="zh-CN"/>
              </w:rPr>
              <w:t>方</w:t>
            </w:r>
            <w:r>
              <w:rPr>
                <w:rStyle w:val="8"/>
                <w:rFonts w:ascii="Times New Roman" w:hAnsi="Times New Roman" w:eastAsia="方正仿宋_GBK"/>
                <w:b w:val="0"/>
                <w:i w:val="0"/>
                <w:iCs w:val="0"/>
                <w:caps w:val="0"/>
                <w:color w:val="000000"/>
                <w:spacing w:val="0"/>
                <w:w w:val="100"/>
                <w:kern w:val="0"/>
                <w:sz w:val="24"/>
                <w:szCs w:val="24"/>
                <w:lang w:val="en-US" w:eastAsia="zh-CN"/>
              </w:rPr>
              <w:t>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29000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濯水非遗小镇项目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利用濯水古镇景区现有基础设施，打造集非遗美食、非遗手工艺、非遗MIX红色文化三大主题街区，收集整理黔江及武陵山区域各类非遗制作技艺，开发既有地域特色又有时尚元素的非遗产品，打造武陵山区非遗小镇。</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8000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黔江区小南海十三寨景区提升工程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对小南海十三寨景区进行升级与扩容，打造成为民俗文化及全国乡村旅游的示范景区。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景区房车（自驾车）及露营基地项目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利用神龟峡景区、水市水车坪景区打造房车（自驾车）及露营基地2个，新建露营营位100个、户外游乐营地12000平方米，配套生态停车场5000平方米及公厕、淋浴房、管理用房、森林夜景照明灯饰及配套应急救援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2022-2028</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黔江区休闲农业与乡村旅游配套设施建设项目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完善白土乡三塘盖、金溪千年银杏、情人谷、中塘乡仰头山、新华乡石钟山、杉岭乡尖山子、蓬东乡佛门洞、五里乡五里、邻鄂镇高坪、水田乡石郎、阿蓬江镇柒坨、城南街道正阳山、黑溪镇改革和光明休闲农业与乡村旅游相关产业及旅游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2021-2035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黔江区阿蓬江一江两岸休闲观光旅游示范带项目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以爱莉丝婚庆主题园景区、官村兵屯文化主题景区、神龟峡自然景区为重点，推进阿蓬江一江两岸休闲观光示范带提档升级，形成濯水—阿蓬江观光旅游示范带，推动融入乌江画廊旅游示范带。</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2020-2030</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黔江区武陵山渝东南土家族苗族文化生态保护实验区非物质文化遗产馆项目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总建筑面积10000平方米，建成武陵山区集非遗展示、体验、展销及创意设计于一体的渝东南文化生态保护实验区非遗综合馆。</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黔江区渝东南文化创意产业园项目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依托南沟片区粮站仓库建设民族文化展演、田园休闲、民族工艺品生产、民族工艺品批发四大园区。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黔江区海洋极地公园项目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成一个具有浓厚海洋文化特色的现代化、理念全国领先的大型生态科普知识的海洋主题公园，人工智能化旅游景区，成为具有海洋文化特色的城市名片，打造西南地区最大的旅游聚集地，是打造重庆全域旅游的重要组成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2022-2030</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工业园区管委会</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黔江区阿蓬江水上休闲运动项目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重点推进阿蓬江沿线钓鱼、水上漂流、竹筏、游船等体育运动休闲竞技项目，建设特色运动观光游基地。</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（二）</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大健康服务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1077137</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黔江区中医院县域综合服务能力提升（传承创新中心新建）项目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新建渝东南中医药适宜技术推广实训基地20000㎡。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黔江区中医院县域综合服务能力提标扩能建设项目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改扩建西山院区业务用房总建筑面积40000㎡；配套消毒供应、供氧负压、污水处置、配电发电、医疗设备及信息化建设等。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黔江区渝东南片区应急抢险救援物资储备中心建设项目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总建筑面积约16900平方米，建设储备库、办公用房及配套设施。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12114</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区应急管理局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武陵山区域医疗中心（应急医院）项目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建设总建筑面积2.78万㎡，规划床位600张，其中：固定床位150张，应急床位450张，主要包括新建门诊、住院、医技、保障、行政管理和院内生活等业务用房及配套设施。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40019</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重庆市黔江中心医院住院综合楼项目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续建重庆市黔江中心医院住院综合楼，建筑面积约55940㎡，建设内容包括：主体工程、消防工程、医用电梯、信息化工程、配电工程及其机电设备等。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2018-2021</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重庆市黔江中心医院外科大楼及配套工程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新建业务用房约89753平方米，配套相关设施设备。</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51000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重庆市黔江区智慧医疗建设项目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建设黔江智慧医疗云平台，优化智慧医疗云平台运行环境。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12100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重庆市黔江区基层医疗机构能力提升工程项目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改建30个乡镇街道发热门诊、肠道门诊、手术室、妇产科、数字化预防接种门诊、监护室共20000平方米，配套相应设施设备。</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9000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黔江区文体中心项目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总建筑面积12万方，包括体育馆39000平方米，博物馆5000平方米，文化馆6500平方米，公共图书馆7300平方米，档案馆9960平方米，影剧院6700平方米，档案馆9960平方米等和配套基础设施。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黔江区市民体育健身中心项目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总占地面积40亩，总建筑面积约6万㎡，主要包括篮球场，羽毛球场、乒乓球场、泳泳馆，以及配套停车场、运动员公寓、体育用品超市等设施建设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2019-2023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工业园区管委会</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黔江区全民健身中心改扩建项目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利用老城现有风雨球场、门球场等地块，改扩建为集体育运动、健身休闲于一体的综合性场馆，建筑面积约2.5万平方米。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黔江区登山/健身/骑行道建设项目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利用乡镇街道现有步游道等设施新建改扩建登山/健身/骑行道等户外运动设施10条，200公里以上。</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黔江区养老服务建设项目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建设石会、舟白、石家、马喇和金溪等5个老年养老院，共计1150个床位，并按照30%设置护理型床位。</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17292</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黔江区正阳圣境森林康养小镇项目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公园规划面积19.8平方公里,项目主要在正阳山山顶修建正阳山观景楼一座，完善配套旅游服生态停车场、接待和管理用房、厕所，景观绿化、步游道、连接道路、智慧系统等基础设施，增设民宿酒店、露营基地、露天电影、特色餐饮、烧烤、民谣酒吧及茶苑等接待设施，利用芭拉胡景区东入口有利条件新建芭拉胡景区至正阳山观景楼观光索道约900米，开发溶洞、水裤，打造康养健身中心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160000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2021-2028</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黔江区老年公寓建设项目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星源老年公寓建筑面积为2500平方米，设计床位70张，幸福家园老年公寓建筑面积18000平方米，设计床位300张。</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黔江区经营性公墓项目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建成墓位21868个（公益性墓位8000个）。其中业务用房2512.12平方米，骨灰安放塔1820平方米，遗物焚烧间662平方米，门卫室(含大门)135.36平方米等，绿化占地40506.86平方米，道路、停车场及广场占地5800平方米。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7850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黔江区乡镇公益性公墓项目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建设濯水镇、阿蓬江镇、小南海镇、石会镇等公益性公墓，总占地面积约80亩（每个20亩），建设墓穴 9200个墓位（每个2300个墓位）、道路、绿化、管理房、监控室及监控设施等。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4600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黔江区殡仪服务站建设项目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新建殡仪服务站4个（濯水镇、阿蓬江镇、小南海镇、石会镇），总占地面积约45亩，建设治丧中心（悼念厅5 个）、综合楼、办公楼、殡仪服务车等。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黔江区渝东南片区儿童福利院项目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办公用房、生活用房、医疗用房、康复用房、教育和技能培训用房、其他附属用房等。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6162</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黔江区水车坪度假小镇项目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新建森林疗养居所、康养专科医院、康养体检中心、康复中心、国医堂、客户医养服务中心、营养厨房、生态康养运动场 、康养步道、康养商业服务街区等项目。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黔江区质子医疗综合体项目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占地100亩，建设质子医院、康复医院、亚健康管理中心。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2024-2027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黔江区民族医院康养综合大楼项目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建设康养综合楼，建筑面积33528.71㎡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2019-2022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工业园区管委会</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区卫生健康委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（三）</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现代物流</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301227</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渝东南货运枢纽（450万吨）项目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依托450万吨铁路货场，占地约480亩，包括建设6条货物线以及仓储、物流设施等。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区交通局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黔江区公路物流港项目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建设航空物流园区二级货运站、青杠物流园区二级货运站、冯家物流园区三级货运站，对22个乡镇客运镇实施改造，增加货运功能。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17200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区交通局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黔江区武陵山空港物流园项目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总占地面积1317亩，首启区总用地面积为520亩，建设仓储用房、 加工配送用房、 运输装卸用房、公共设施用房、办公用房等。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82800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2021-2030</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区交通局</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黔江武陵山机场航空口岸开放项目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共布局5类功能区，约7000平方米。一是1000平方米办公服务区。二是1500平方米保税功能区，三是2500平方米货物作业区，四是500平方米公共查验监管区，五是1500平方米航空货场换装作业区。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黔江保税物流中心（B型）项目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结合黔江海关发展布局建设，建设公用型保税仓和跨境电商仓库，配套建设对应分拣物流设施。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黔江海关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黔江区铁路运输类海关监管作业场所项目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结合黔江海关发展，在黔江火车站布局建设海关监管作业场所，包括：口岸前置拦截作业区、查验作业区、检疫处理区等。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黔江海关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黔江区城乡高效配送项目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建设集仓储、分拣、检测、冷冻冷藏、包装、配送、信息一体化的综合性城乡现代仓储配送中心，引入三方物流公司，助推黔江城乡现代流通体系建设；建设集供需信息、在线交易、技术支持的物流信息平台。</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49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武陵山区域性快递物流分拨中心项目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通过全自动分拣机和安检设备等智慧化手段，创新城市共同配送模式，建设区域分拨中心。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黔江区渝东南冷链物流中心项目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改扩建普仓25200平方米，配送中心8000平方米，城乡冷链物流配送网点30个，前置仓库500平方米，中央厨房及低温加工处理中心10000平方米。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19309</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黔江区渝东南农资物流配送中心迁建项目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占地50亩，总建筑面积约4万平方米。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11918</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（四）</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科技服务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300000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中国华录黔江数据湖科技园项目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建成数据湖基础设施、数据湖产业园。</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正阳工业园区管委会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（五）</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教育培训服务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413280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黔江区公办幼儿园建设工程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新建城南、舟白、冯家、濯水中心幼儿园，建筑面积19800平方米，接收装修幼儿园9个。</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30380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黔江区义务教育学校布局调整及扩容改造工程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人民小学恒大分校和黔江初级中学恒大分校、西村小学、积富小学、正阳初级中学，迁建城南中心小学校、万涛中心小学校、特殊教育学校，改扩建黔江初级中学、新华初级中学、舟白初级中学、舟白小学、实验中学、实验小学、册山小学、濯水小学，新征地400亩，新建校舍18.14万平方米，配套建设相关附属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63300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黔江区渝东南职业教育城建设工程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1.黔江区民族职教中心迁建工程新征地220亩，新建校舍9.96万平方米，配套建设运动场、道路、管网、绿化等附属工程及设施设备采购。2.重庆旅游职业学院改扩建工程 新征地600亩，新建校舍20万平方米。3.重庆经贸职业学院改扩建工程 新征地500亩，新建校舍15万平方米。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2017-2025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黔江区普通高中基础办学条件改善工程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改扩建黔江中学、新华中学、民族中学，新建校舍3.88万平方米，配套建设相关附属设施。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11600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黔江区天立国际学校建设项目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开办一所K12学校，办学规模4000人，占地190亩，新建校舍6.5万平方米，配套建设相关设施。</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黔江区渝东南教师进修学院建设工程</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计划新征地30亩，新建业务用房15000平方米，新建篮球场1个及停车位等相关配套设施建设。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8000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黔江区渝东南职业农民培训学院</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依托职教中心，新建职业农民培训大楼，建筑面积约6000平方米，负责远程教学网络平台建设、师资队伍建设等，组织实施新型职业农民培养工作，年培训人次达5000人。</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区农业农村委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重庆武陵山中医药学院（暂定名）</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引入社会资本举办以医学教育、医疗服务和医药开发为一体，辐射渝鄂湘黔边区，全国知名的民办本科医学院,主要建设内容为新征地600亩，新建校舍30万平方米及相关配套设施建设。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黔江区武陵高级中学</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占地300亩，校舍面积10万平方米。</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区教委</w:t>
            </w:r>
            <w:r>
              <w:rPr>
                <w:rStyle w:val="8"/>
                <w:rFonts w:ascii="Times New Roman" w:hAnsi="Times New Roman" w:eastAsia="方正仿宋_GBK"/>
                <w:b w:val="0"/>
                <w:i w:val="0"/>
                <w:iCs w:val="0"/>
                <w:caps w:val="0"/>
                <w:color w:val="000000"/>
                <w:spacing w:val="0"/>
                <w:w w:val="100"/>
                <w:kern w:val="0"/>
                <w:sz w:val="24"/>
                <w:szCs w:val="24"/>
                <w:lang w:val="en-US" w:eastAsia="zh-CN"/>
              </w:rPr>
              <w:br w:type="textWrapping"/>
            </w:r>
            <w:r>
              <w:rPr>
                <w:rStyle w:val="8"/>
                <w:rFonts w:ascii="Times New Roman" w:hAnsi="Times New Roman" w:eastAsia="方正仿宋_GBK"/>
                <w:b w:val="0"/>
                <w:i w:val="0"/>
                <w:iCs w:val="0"/>
                <w:caps w:val="0"/>
                <w:color w:val="000000"/>
                <w:spacing w:val="0"/>
                <w:w w:val="100"/>
                <w:kern w:val="0"/>
                <w:sz w:val="24"/>
                <w:szCs w:val="24"/>
                <w:lang w:val="en-US" w:eastAsia="zh-CN"/>
              </w:rPr>
              <w:t>工业园区管委会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二</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新兴服务业项目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506821</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（一）</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现代商贸服务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288121</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黔江区城南副商业中心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加快黔州宾馆片区旧城改造，打造城南副商业中心。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2023-2027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黔江区城西购物中心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建设占地约10亩，面积约5万平方米的大型商业综合体。</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2024-2026</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黔江区奥特莱斯购物中心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在新城布局面积2万平方米以上的武陵山片区大型名品折扣购物中心。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2022-2025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黔江区东轮汽车交易市场改造项目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对原市场进行全面改造重建，主要建设汽车4S店、汽车销售展厅、配套设施等建设。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黔江区新城智慧农贸市场</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苏家坝农贸市场占地1324㎡，建筑面积2546㎡，三阳岭农贸综合市场：占地面积7737.62㎡；黔江区碧桂园农贸综合市场：占地12亩，建筑面积约16992.64㎡。</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黔江区渝东南农产品批发交易中心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改扩建服务中心9150平方米、蔬菜转运中心7050平方米，A型冷藏仓库7950平方米、B型冷冻仓库765平方米，其他配套基础设施16000平方米，消防设施、智能化系统、智慧交易平台及食品安全检测设备等。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18121</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万莎奥特莱斯黔江购物中心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在新城布局面积3.6万平方米以上的武陵山片区大型名品折扣购物中心。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2024-2026</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69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星级酒店建设项目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新建3星级及以上酒店6个。</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2021-2027</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（二）</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软件与信息服务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153700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70</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黔江区旅游景区大数据指挥中心（二期）</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智慧景区综合管理平台、“一部手机游”APP、舆情采集与分析系统、景区地理信息GIS系统、环境监测系统、景区游客流量统计分析系统、电子巡更巡检系统、车船调度管理系统、智慧厕所、智慧垃圾桶、智慧消防栓、线上票务、景区智能人脸识别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3500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2020-2023</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区文化旅游委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71</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智慧商城</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集O2O电商、商圈金融、停车诱导、政务查询、社交平台、促销打折、旅游服务等功能于一体的平台。开发智慧商圈移动终端APP、智慧商圈网，实现智能化、便利化、一站式、综合性商圈有效供给。通过智能硬件、物联网等技术建立与消费者之间的联系，增强用户体验，实现商圈数字化、消费需求场景化，对商圈的整体动线规划、商业业态布局、安全、卫生等方面提供支撑。</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2020-2022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72</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重庆数据中心渝东南存储分中心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利用中国华录（重庆黔江）城市数据湖，建设区域数据存储分中心，为渝东南地区经济社会发展提供数据支撑作用，包括数据中心用地、机房装修、存储设备、供电、网络等内容建设。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区大数据发展局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73</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重庆水土数据中心异地灾备中心</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建设承接水土数据中心异地灾备功能的光磁一体存储工程，利用黔江电力、气候、汉渝光缆一级节点等优势，建设重庆大数据灾备中心。</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100000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区大数据发展局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（三）</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会展服务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60000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74</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渝东南会展中心建设项目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建设60000平方米的区域性会展中心及配套设施建设。</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60000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（四）</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电子商务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75</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黔江区电子商务进农村升级版</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建设电子商务产业示范园；农村流通设施建设、农村电商公共服务体系、农村电子商务培训、农村物流体系等升级改造。</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三</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其他服务业项目</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72000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（一）</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现代金融</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25000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both"/>
              <w:textAlignment w:val="baseline"/>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76</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渝东南金融中心建设项目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打造渝东南地区的金融业集聚区域，满足黔江区及周边企业的金融服务需求，聚集投融资及后台支持服务企业。</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2021-2024</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0"/>
                <w:sz w:val="24"/>
                <w:szCs w:val="24"/>
                <w:lang w:val="en-US" w:eastAsia="zh-CN"/>
              </w:rPr>
              <w:t>区金融办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（二）</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专业中介服务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22000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77</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2"/>
                <w:sz w:val="24"/>
                <w:szCs w:val="24"/>
                <w:lang w:val="en-US" w:eastAsia="zh-CN" w:bidi="ar-SA"/>
              </w:rPr>
              <w:t>专业中介服务综合示范区建设项目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2"/>
                <w:sz w:val="24"/>
                <w:szCs w:val="24"/>
                <w:lang w:val="en-US" w:eastAsia="zh-CN" w:bidi="ar-SA"/>
              </w:rPr>
              <w:t>打造集咨询、会计、法律等企业的专业服务综合示范区，包括道路工程、管线工程、道路绿化及土建工程等。</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20000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2022-2024</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区人力社保局、区市场监管局、区规划自然资源局、区司法局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78</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2"/>
                <w:sz w:val="24"/>
                <w:szCs w:val="24"/>
                <w:lang w:val="en-US" w:eastAsia="zh-CN" w:bidi="ar-SA"/>
              </w:rPr>
              <w:t>安全生产大数据智能平台建设项目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2"/>
                <w:sz w:val="24"/>
                <w:szCs w:val="24"/>
                <w:lang w:val="en-US" w:eastAsia="zh-CN" w:bidi="ar-SA"/>
              </w:rPr>
            </w:pPr>
            <w:r>
              <w:rPr>
                <w:rStyle w:val="8"/>
                <w:rFonts w:ascii="Times New Roman" w:hAnsi="Times New Roman" w:eastAsia="方正仿宋_GBK"/>
                <w:b w:val="0"/>
                <w:i w:val="0"/>
                <w:iCs w:val="0"/>
                <w:caps w:val="0"/>
                <w:color w:val="000000"/>
                <w:spacing w:val="0"/>
                <w:w w:val="100"/>
                <w:kern w:val="2"/>
                <w:sz w:val="24"/>
                <w:szCs w:val="24"/>
                <w:lang w:val="en-US" w:eastAsia="zh-CN" w:bidi="ar-SA"/>
              </w:rPr>
              <w:t>以安监大数据建模设计和可视化应用场景展现为方向，通过运用大数据的思维、技术、工具深入挖掘数据价值，实现大数据在安监业务方向的多维创新应用。</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2021-2022</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区应急管理局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cs="Times New Roman"/>
                <w:b/>
                <w:bCs/>
                <w:i w:val="0"/>
                <w:iCs w:val="0"/>
                <w:caps w:val="0"/>
                <w:color w:val="000000"/>
                <w:spacing w:val="0"/>
                <w:w w:val="100"/>
                <w:kern w:val="2"/>
                <w:sz w:val="24"/>
                <w:szCs w:val="24"/>
                <w:lang w:val="en-US" w:eastAsia="zh-CN" w:bidi="ar-SA"/>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（三）</w:t>
            </w:r>
          </w:p>
        </w:tc>
        <w:tc>
          <w:tcPr>
            <w:tcW w:w="10139" w:type="dxa"/>
            <w:gridSpan w:val="2"/>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社区及家政服务</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cs="Times New Roman"/>
                <w:b/>
                <w:bCs/>
                <w:i w:val="0"/>
                <w:iCs w:val="0"/>
                <w:caps w:val="0"/>
                <w:color w:val="000000"/>
                <w:spacing w:val="0"/>
                <w:w w:val="100"/>
                <w:kern w:val="0"/>
                <w:sz w:val="24"/>
                <w:szCs w:val="24"/>
                <w:lang w:val="en-US" w:eastAsia="zh-CN"/>
              </w:rPr>
              <w:t>25000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jc w:val="center"/>
        </w:trPr>
        <w:tc>
          <w:tcPr>
            <w:tcW w:w="84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79</w:t>
            </w:r>
          </w:p>
        </w:tc>
        <w:tc>
          <w:tcPr>
            <w:tcW w:w="253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2"/>
                <w:sz w:val="24"/>
                <w:szCs w:val="24"/>
                <w:lang w:val="en-US" w:eastAsia="zh-CN" w:bidi="ar-SA"/>
              </w:rPr>
              <w:t>社会服务管理信息化平台建设项目</w:t>
            </w:r>
          </w:p>
        </w:tc>
        <w:tc>
          <w:tcPr>
            <w:tcW w:w="7604"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left"/>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2"/>
                <w:sz w:val="24"/>
                <w:szCs w:val="24"/>
                <w:lang w:val="en-US" w:eastAsia="zh-CN" w:bidi="ar-SA"/>
              </w:rPr>
              <w:t>以社区服务信息化网络平台为核心，采用品牌化连锁经营模式，建立社区服务信息管理中心，构建覆盖全区、街道、社区三级联网一体化的现代化社区事务管理和社区服务系统。</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25000</w:t>
            </w:r>
          </w:p>
        </w:tc>
        <w:tc>
          <w:tcPr>
            <w:tcW w:w="1320"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2022-2025</w:t>
            </w:r>
          </w:p>
        </w:tc>
        <w:tc>
          <w:tcPr>
            <w:tcW w:w="1665" w:type="dxa"/>
            <w:tcBorders>
              <w:top w:val="single" w:color="000000" w:sz="4" w:space="0"/>
              <w:left w:val="single" w:color="000000" w:sz="4" w:space="0"/>
              <w:bottom w:val="single" w:color="000000" w:sz="4" w:space="0"/>
              <w:right w:val="single" w:color="000000" w:sz="4" w:space="0"/>
            </w:tcBorders>
            <w:vAlign w:val="center"/>
          </w:tcPr>
          <w:p>
            <w:pPr>
              <w:widowControl/>
              <w:snapToGrid w:val="0"/>
              <w:spacing w:before="0" w:beforeAutospacing="0" w:after="0" w:afterAutospacing="0" w:line="240" w:lineRule="auto"/>
              <w:jc w:val="center"/>
              <w:textAlignment w:val="center"/>
              <w:rPr>
                <w:rStyle w:val="8"/>
                <w:rFonts w:ascii="Times New Roman" w:hAnsi="Times New Roman" w:eastAsia="方正仿宋_GBK"/>
                <w:b w:val="0"/>
                <w:i w:val="0"/>
                <w:iCs w:val="0"/>
                <w:caps w:val="0"/>
                <w:color w:val="000000"/>
                <w:spacing w:val="0"/>
                <w:w w:val="100"/>
                <w:kern w:val="0"/>
                <w:sz w:val="24"/>
                <w:szCs w:val="24"/>
                <w:lang w:val="en-US" w:eastAsia="zh-CN"/>
              </w:rPr>
            </w:pPr>
            <w:r>
              <w:rPr>
                <w:rStyle w:val="8"/>
                <w:rFonts w:ascii="Times New Roman" w:hAnsi="Times New Roman" w:eastAsia="方正仿宋_GBK"/>
                <w:b w:val="0"/>
                <w:i w:val="0"/>
                <w:iCs w:val="0"/>
                <w:caps w:val="0"/>
                <w:color w:val="000000"/>
                <w:spacing w:val="0"/>
                <w:w w:val="100"/>
                <w:kern w:val="0"/>
                <w:sz w:val="24"/>
                <w:szCs w:val="24"/>
                <w:lang w:val="en-US" w:eastAsia="zh-CN"/>
              </w:rPr>
              <w:t>区商务委</w:t>
            </w:r>
          </w:p>
        </w:tc>
      </w:tr>
    </w:tbl>
    <w:p>
      <w:pPr>
        <w:pStyle w:val="19"/>
        <w:snapToGrid/>
        <w:spacing w:before="0" w:beforeAutospacing="0" w:after="0" w:afterAutospacing="0" w:line="240" w:lineRule="auto"/>
        <w:ind w:left="0" w:leftChars="0" w:right="320" w:firstLine="420" w:firstLineChars="0"/>
        <w:jc w:val="both"/>
        <w:textAlignment w:val="baseline"/>
        <w:rPr>
          <w:rStyle w:val="8"/>
          <w:rFonts w:ascii="Times New Roman" w:hAnsi="Times New Roman" w:eastAsia="方正仿宋_GBK"/>
          <w:b w:val="0"/>
          <w:i w:val="0"/>
          <w:caps w:val="0"/>
          <w:color w:val="000000"/>
          <w:spacing w:val="0"/>
          <w:w w:val="100"/>
          <w:sz w:val="32"/>
          <w:szCs w:val="32"/>
          <w:lang w:val="en-US" w:eastAsia="zh-CN"/>
        </w:rPr>
        <w:sectPr>
          <w:headerReference r:id="rId14" w:type="default"/>
          <w:footerReference r:id="rId15" w:type="default"/>
          <w:pgSz w:w="16838" w:h="11906"/>
          <w:pgMar w:top="1587" w:right="2098" w:bottom="1474" w:left="1984" w:header="851" w:footer="1474" w:gutter="0"/>
          <w:lnNumType w:countBy="0"/>
          <w:pgNumType w:fmt="decimal"/>
          <w:cols w:space="425" w:num="1"/>
          <w:docGrid w:type="linesAndChars" w:linePitch="589" w:charSpace="-842"/>
        </w:sectPr>
      </w:pPr>
    </w:p>
    <w:p>
      <w:pPr>
        <w:pStyle w:val="19"/>
        <w:snapToGrid/>
        <w:spacing w:before="0" w:beforeAutospacing="0" w:after="0" w:afterAutospacing="0" w:line="240" w:lineRule="auto"/>
        <w:ind w:left="0" w:leftChars="0" w:right="320" w:firstLine="420" w:firstLineChars="0"/>
        <w:jc w:val="both"/>
        <w:textAlignment w:val="baseline"/>
        <w:rPr>
          <w:rStyle w:val="8"/>
          <w:rFonts w:ascii="Times New Roman" w:hAnsi="Times New Roman" w:eastAsia="方正仿宋_GBK"/>
          <w:b w:val="0"/>
          <w:i w:val="0"/>
          <w:caps w:val="0"/>
          <w:color w:val="000000"/>
          <w:spacing w:val="0"/>
          <w:w w:val="100"/>
          <w:sz w:val="32"/>
          <w:szCs w:val="32"/>
          <w:lang w:val="en-US" w:eastAsia="zh-CN"/>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snapToGrid/>
        <w:spacing w:before="0" w:beforeAutospacing="0" w:after="0" w:afterAutospacing="0" w:line="40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pStyle w:val="2"/>
        <w:widowControl/>
        <w:snapToGrid/>
        <w:spacing w:before="0" w:beforeAutospacing="0" w:after="0" w:afterAutospacing="0" w:line="594" w:lineRule="exact"/>
        <w:jc w:val="both"/>
        <w:textAlignment w:val="baseline"/>
        <w:rPr>
          <w:rStyle w:val="8"/>
          <w:rFonts w:hint="eastAsia"/>
          <w:b w:val="0"/>
          <w:i w:val="0"/>
          <w:caps w:val="0"/>
          <w:spacing w:val="0"/>
          <w:w w:val="100"/>
          <w:kern w:val="2"/>
          <w:sz w:val="21"/>
          <w:szCs w:val="21"/>
          <w:lang w:val="en-US" w:eastAsia="zh-CN" w:bidi="ar-SA"/>
        </w:rPr>
      </w:pPr>
    </w:p>
    <w:p>
      <w:pPr>
        <w:pStyle w:val="2"/>
        <w:widowControl/>
        <w:snapToGrid/>
        <w:spacing w:before="0" w:beforeAutospacing="0" w:after="0" w:afterAutospacing="0" w:line="594" w:lineRule="exact"/>
        <w:jc w:val="both"/>
        <w:textAlignment w:val="baseline"/>
        <w:rPr>
          <w:rStyle w:val="8"/>
          <w:rFonts w:hint="default" w:ascii="宋体" w:hAnsi="Courier New" w:eastAsia="宋体"/>
          <w:b w:val="0"/>
          <w:i w:val="0"/>
          <w:caps w:val="0"/>
          <w:spacing w:val="0"/>
          <w:w w:val="100"/>
          <w:kern w:val="2"/>
          <w:sz w:val="21"/>
          <w:szCs w:val="21"/>
          <w:lang w:val="en-US" w:eastAsia="zh-CN" w:bidi="ar-SA"/>
        </w:rPr>
      </w:pPr>
    </w:p>
    <w:p>
      <w:pPr>
        <w:snapToGrid/>
        <w:spacing w:before="0" w:beforeAutospacing="0" w:after="0" w:afterAutospacing="0" w:line="240" w:lineRule="exact"/>
        <w:jc w:val="both"/>
        <w:textAlignment w:val="baseline"/>
        <w:rPr>
          <w:rStyle w:val="8"/>
          <w:rFonts w:ascii="Times New Roman" w:hAnsi="Times New Roman" w:eastAsia="方正仿宋_GBK"/>
          <w:b w:val="0"/>
          <w:i w:val="0"/>
          <w:caps w:val="0"/>
          <w:color w:val="000000"/>
          <w:spacing w:val="0"/>
          <w:w w:val="100"/>
          <w:kern w:val="2"/>
          <w:sz w:val="32"/>
          <w:szCs w:val="32"/>
          <w:lang w:val="en-US" w:eastAsia="zh-CN" w:bidi="ar-SA"/>
        </w:rPr>
      </w:pPr>
    </w:p>
    <w:p>
      <w:pPr>
        <w:pStyle w:val="2"/>
        <w:widowControl/>
        <w:snapToGrid/>
        <w:spacing w:before="0" w:beforeAutospacing="0" w:after="0" w:afterAutospacing="0" w:line="594" w:lineRule="exact"/>
        <w:jc w:val="both"/>
        <w:textAlignment w:val="baseline"/>
        <w:rPr>
          <w:rStyle w:val="8"/>
          <w:rFonts w:ascii="Times New Roman" w:hAnsi="Times New Roman" w:eastAsia="宋体"/>
          <w:b w:val="0"/>
          <w:i w:val="0"/>
          <w:caps w:val="0"/>
          <w:color w:val="000000"/>
          <w:spacing w:val="0"/>
          <w:w w:val="100"/>
          <w:kern w:val="2"/>
          <w:sz w:val="21"/>
          <w:szCs w:val="21"/>
          <w:lang w:val="en-US" w:eastAsia="zh-CN" w:bidi="ar-SA"/>
        </w:rPr>
      </w:pPr>
    </w:p>
    <w:p>
      <w:pPr>
        <w:snapToGrid/>
        <w:spacing w:before="0" w:beforeAutospacing="0" w:after="0" w:afterAutospacing="0" w:line="420" w:lineRule="exact"/>
        <w:ind w:left="1102" w:leftChars="87" w:hanging="828"/>
        <w:jc w:val="both"/>
        <w:textAlignment w:val="baseline"/>
        <w:rPr>
          <w:rStyle w:val="8"/>
          <w:rFonts w:ascii="Times New Roman" w:hAnsi="Times New Roman" w:eastAsia="方正仿宋_GBK"/>
          <w:b w:val="0"/>
          <w:i w:val="0"/>
          <w:caps w:val="0"/>
          <w:color w:val="000000"/>
          <w:spacing w:val="0"/>
          <w:w w:val="100"/>
          <w:kern w:val="2"/>
          <w:sz w:val="28"/>
          <w:szCs w:val="28"/>
          <w:lang w:val="en-US" w:eastAsia="zh-CN" w:bidi="ar-SA"/>
        </w:rPr>
      </w:pPr>
      <w:r>
        <w:rPr>
          <w:rStyle w:val="8"/>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525312" behindDoc="0" locked="0" layoutInCell="1" allowOverlap="1">
                <wp:simplePos x="0" y="0"/>
                <wp:positionH relativeFrom="column">
                  <wp:posOffset>-20955</wp:posOffset>
                </wp:positionH>
                <wp:positionV relativeFrom="paragraph">
                  <wp:posOffset>28575</wp:posOffset>
                </wp:positionV>
                <wp:extent cx="5652135" cy="0"/>
                <wp:effectExtent l="0" t="0" r="0" b="0"/>
                <wp:wrapNone/>
                <wp:docPr id="1" name="直线 28"/>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28" o:spid="_x0000_s1026" o:spt="20" style="position:absolute;left:0pt;margin-left:-1.65pt;margin-top:2.25pt;height:0pt;width:445.05pt;z-index:525312;mso-width-relative:page;mso-height-relative:page;" filled="f" stroked="t" coordsize="21600,21600" o:gfxdata="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WemR5dYAAAAG&#10;AQAADwAAAAAAAAABACAAAAA4AAAAZHJzL2Rvd25yZXYueG1sUEsBAhQAFAAAAAgAh07iQFWTMgHP&#10;AQAAkgMAAA4AAAAAAAAAAQAgAAAAOwEAAGRycy9lMm9Eb2MueG1sUEsFBgAAAAAGAAYAWQEAAHwF&#10;AAAAAA==&#10;">
                <v:fill on="f" focussize="0,0"/>
                <v:stroke weight="1.25pt" color="#000000" joinstyle="round"/>
                <v:imagedata o:title=""/>
                <o:lock v:ext="edit" aspectratio="f"/>
              </v:line>
            </w:pict>
          </mc:Fallback>
        </mc:AlternateContent>
      </w:r>
      <w:r>
        <w:rPr>
          <w:rStyle w:val="8"/>
          <w:rFonts w:ascii="Times New Roman" w:hAnsi="Times New Roman" w:eastAsia="方正仿宋_GBK"/>
          <w:b w:val="0"/>
          <w:i w:val="0"/>
          <w:caps w:val="0"/>
          <w:color w:val="000000"/>
          <w:spacing w:val="0"/>
          <w:w w:val="100"/>
          <w:kern w:val="2"/>
          <w:sz w:val="28"/>
          <w:szCs w:val="28"/>
          <w:lang w:val="en-US" w:eastAsia="zh-CN" w:bidi="ar-SA"/>
        </w:rPr>
        <w:t>抄送：区委办公室，区人大常委会办公室，区政协办公室，区监委，区法院，区检察院，区人武部。</w:t>
      </w:r>
    </w:p>
    <w:p>
      <w:pPr>
        <w:snapToGrid/>
        <w:spacing w:before="0" w:beforeAutospacing="0" w:after="0" w:afterAutospacing="0" w:line="400" w:lineRule="exact"/>
        <w:ind w:firstLine="276" w:firstLineChars="100"/>
        <w:jc w:val="both"/>
        <w:textAlignment w:val="baseline"/>
        <w:rPr>
          <w:rStyle w:val="8"/>
          <w:rFonts w:ascii="Times New Roman" w:hAnsi="Times New Roman" w:eastAsia="方正小标宋_GBK"/>
          <w:b w:val="0"/>
          <w:i w:val="0"/>
          <w:caps w:val="0"/>
          <w:color w:val="000000"/>
          <w:spacing w:val="0"/>
          <w:w w:val="100"/>
          <w:kern w:val="2"/>
          <w:sz w:val="44"/>
          <w:szCs w:val="44"/>
          <w:lang w:val="en-US" w:eastAsia="zh-CN" w:bidi="ar-SA"/>
        </w:rPr>
      </w:pPr>
      <w:r>
        <w:rPr>
          <w:rStyle w:val="8"/>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525312" behindDoc="0" locked="0" layoutInCell="1" allowOverlap="1">
                <wp:simplePos x="0" y="0"/>
                <wp:positionH relativeFrom="column">
                  <wp:posOffset>0</wp:posOffset>
                </wp:positionH>
                <wp:positionV relativeFrom="paragraph">
                  <wp:posOffset>8255</wp:posOffset>
                </wp:positionV>
                <wp:extent cx="5652135" cy="0"/>
                <wp:effectExtent l="0" t="0" r="0" b="0"/>
                <wp:wrapNone/>
                <wp:docPr id="2" name="直线 29"/>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29" o:spid="_x0000_s1026" o:spt="20" style="position:absolute;left:0pt;margin-left:0pt;margin-top:0.65pt;height:0pt;width:445.05pt;z-index:525312;mso-width-relative:page;mso-height-relative:page;" filled="f" stroked="t" coordsize="21600,21600" o:gfxdata="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JmJQOrTAAAABAEA&#10;AA8AAAAAAAAAAQAgAAAAOAAAAGRycy9kb3ducmV2LnhtbFBLAQIUABQAAAAIAIdO4kAQtkjq0AEA&#10;AJIDAAAOAAAAAAAAAAEAIAAAADgBAABkcnMvZTJvRG9jLnhtbFBLBQYAAAAABgAGAFkBAAB6BQAA&#10;AAA=&#10;">
                <v:fill on="f" focussize="0,0"/>
                <v:stroke weight="1.25pt" color="#000000" joinstyle="round"/>
                <v:imagedata o:title=""/>
                <o:lock v:ext="edit" aspectratio="f"/>
              </v:line>
            </w:pict>
          </mc:Fallback>
        </mc:AlternateContent>
      </w:r>
      <w:r>
        <w:rPr>
          <w:rStyle w:val="8"/>
          <w:rFonts w:ascii="Times New Roman" w:hAnsi="Times New Roman" w:eastAsia="方正仿宋_GBK"/>
          <w:b w:val="0"/>
          <w:i w:val="0"/>
          <w:caps w:val="0"/>
          <w:color w:val="000000"/>
          <w:spacing w:val="0"/>
          <w:w w:val="100"/>
          <w:kern w:val="2"/>
          <w:sz w:val="28"/>
          <w:szCs w:val="28"/>
          <w:lang w:val="en-US" w:eastAsia="zh-CN" w:bidi="ar-SA"/>
        </w:rPr>
        <mc:AlternateContent>
          <mc:Choice Requires="wps">
            <w:drawing>
              <wp:anchor distT="0" distB="0" distL="114300" distR="114300" simplePos="0" relativeHeight="525312" behindDoc="0" locked="0" layoutInCell="1" allowOverlap="1">
                <wp:simplePos x="0" y="0"/>
                <wp:positionH relativeFrom="column">
                  <wp:posOffset>0</wp:posOffset>
                </wp:positionH>
                <wp:positionV relativeFrom="paragraph">
                  <wp:posOffset>253365</wp:posOffset>
                </wp:positionV>
                <wp:extent cx="5652135" cy="0"/>
                <wp:effectExtent l="0" t="0" r="0" b="0"/>
                <wp:wrapNone/>
                <wp:docPr id="3" name="直线 30"/>
                <wp:cNvGraphicFramePr/>
                <a:graphic xmlns:a="http://schemas.openxmlformats.org/drawingml/2006/main">
                  <a:graphicData uri="http://schemas.microsoft.com/office/word/2010/wordprocessingShape">
                    <wps:wsp>
                      <wps:cNvSpPr/>
                      <wps:spPr>
                        <a:xfrm>
                          <a:off x="0" y="0"/>
                          <a:ext cx="5652135" cy="0"/>
                        </a:xfrm>
                        <a:prstGeom prst="line">
                          <a:avLst/>
                        </a:prstGeom>
                        <a:ln w="15875" cap="flat" cmpd="sng">
                          <a:solidFill>
                            <a:srgbClr val="000000"/>
                          </a:solidFill>
                          <a:prstDash val="solid"/>
                          <a:headEnd type="none" w="med" len="med"/>
                          <a:tailEnd type="none" w="med" len="med"/>
                        </a:ln>
                      </wps:spPr>
                      <wps:bodyPr upright="true"/>
                    </wps:wsp>
                  </a:graphicData>
                </a:graphic>
              </wp:anchor>
            </w:drawing>
          </mc:Choice>
          <mc:Fallback>
            <w:pict>
              <v:line id="直线 30" o:spid="_x0000_s1026" o:spt="20" style="position:absolute;left:0pt;margin-left:0pt;margin-top:19.95pt;height:0pt;width:445.05pt;z-index:525312;mso-width-relative:page;mso-height-relative:page;" filled="f" stroked="t" coordsize="21600,21600" o:gfxdata="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BKnogF1gAAAAYB&#10;AAAPAAAAAAAAAAEAIAAAADgAAABkcnMvZG93bnJldi54bWxQSwECFAAUAAAACACHTuJAlYYOM84B&#10;AACSAwAADgAAAAAAAAABACAAAAA7AQAAZHJzL2Uyb0RvYy54bWxQSwUGAAAAAAYABgBZAQAAewUA&#10;AAAA&#10;">
                <v:fill on="f" focussize="0,0"/>
                <v:stroke weight="1.25pt" color="#000000" joinstyle="round"/>
                <v:imagedata o:title=""/>
                <o:lock v:ext="edit" aspectratio="f"/>
              </v:line>
            </w:pict>
          </mc:Fallback>
        </mc:AlternateContent>
      </w:r>
      <w:r>
        <w:rPr>
          <w:rStyle w:val="8"/>
          <w:rFonts w:ascii="Times New Roman" w:hAnsi="Times New Roman" w:eastAsia="方正仿宋_GBK"/>
          <w:b w:val="0"/>
          <w:i w:val="0"/>
          <w:caps w:val="0"/>
          <w:color w:val="000000"/>
          <w:spacing w:val="0"/>
          <w:w w:val="100"/>
          <w:kern w:val="2"/>
          <w:sz w:val="28"/>
          <w:szCs w:val="28"/>
          <w:lang w:val="en-US" w:eastAsia="zh-CN" w:bidi="ar-SA"/>
        </w:rPr>
        <w:t>重庆市黔江区人民政府办公室                2021年9月</w:t>
      </w:r>
      <w:r>
        <w:rPr>
          <w:rStyle w:val="8"/>
          <w:rFonts w:hint="eastAsia"/>
          <w:b w:val="0"/>
          <w:i w:val="0"/>
          <w:caps w:val="0"/>
          <w:color w:val="000000"/>
          <w:spacing w:val="0"/>
          <w:w w:val="100"/>
          <w:kern w:val="2"/>
          <w:sz w:val="28"/>
          <w:szCs w:val="28"/>
          <w:lang w:val="en-US" w:eastAsia="zh-CN" w:bidi="ar-SA"/>
        </w:rPr>
        <w:t>10</w:t>
      </w:r>
      <w:r>
        <w:rPr>
          <w:rStyle w:val="8"/>
          <w:rFonts w:ascii="Times New Roman" w:hAnsi="Times New Roman" w:eastAsia="方正仿宋_GBK"/>
          <w:b w:val="0"/>
          <w:i w:val="0"/>
          <w:caps w:val="0"/>
          <w:color w:val="000000"/>
          <w:spacing w:val="0"/>
          <w:w w:val="100"/>
          <w:kern w:val="2"/>
          <w:sz w:val="28"/>
          <w:szCs w:val="28"/>
          <w:lang w:val="en-US" w:eastAsia="zh-CN" w:bidi="ar-SA"/>
        </w:rPr>
        <w:t>日印发</w:t>
      </w:r>
    </w:p>
    <w:sectPr>
      <w:footerReference r:id="rId16" w:type="default"/>
      <w:pgSz w:w="11906" w:h="16838"/>
      <w:pgMar w:top="2098" w:right="1474" w:bottom="1984" w:left="1587" w:header="851" w:footer="1474" w:gutter="0"/>
      <w:lnNumType w:countBy="0"/>
      <w:pgNumType w:fmt="decimal"/>
      <w:cols w:space="425" w:num="1"/>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仿宋_GBK">
    <w:panose1 w:val="03000509000000000000"/>
    <w:charset w:val="86"/>
    <w:family w:val="script"/>
    <w:pitch w:val="default"/>
    <w:sig w:usb0="00000001" w:usb1="080E0000" w:usb2="00000000" w:usb3="00000000" w:csb0="00040000" w:csb1="00000000"/>
  </w:font>
  <w:font w:name="Helvetica">
    <w:altName w:val="Liberation Sans"/>
    <w:panose1 w:val="020B0604020202020204"/>
    <w:charset w:val="00"/>
    <w:family w:val="swiss"/>
    <w:pitch w:val="default"/>
    <w:sig w:usb0="00000000" w:usb1="00000000" w:usb2="00000009" w:usb3="00000000" w:csb0="000001FF" w:csb1="00000000"/>
  </w:font>
  <w:font w:name="微软雅黑">
    <w:altName w:val="黑体"/>
    <w:panose1 w:val="020B0503020204020204"/>
    <w:charset w:val="86"/>
    <w:family w:val="auto"/>
    <w:pitch w:val="default"/>
    <w:sig w:usb0="00000000" w:usb1="0000000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script"/>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Liberation Sans">
    <w:panose1 w:val="020B06040202020202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right="500"/>
      <w:jc w:val="right"/>
      <w:textAlignment w:val="baseline"/>
      <w:rPr>
        <w:rStyle w:val="8"/>
        <w:rFonts w:ascii="Times New Roman" w:hAnsi="Times New Roman" w:eastAsia="方正仿宋_GBK"/>
        <w:kern w:val="2"/>
        <w:sz w:val="2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ind w:right="360"/>
      <w:jc w:val="left"/>
      <w:textAlignment w:val="baseline"/>
      <w:rPr>
        <w:rStyle w:val="8"/>
        <w:rFonts w:ascii="Times New Roman" w:hAnsi="Times New Roman" w:eastAsia="方正仿宋_GBK"/>
        <w:kern w:val="2"/>
        <w:sz w:val="28"/>
        <w:lang w:val="en-US" w:eastAsia="zh-CN" w:bidi="ar-SA"/>
      </w:rPr>
    </w:pPr>
    <w:r>
      <w:rPr>
        <w:sz w:val="28"/>
      </w:rPr>
      <mc:AlternateContent>
        <mc:Choice Requires="wps">
          <w:drawing>
            <wp:anchor distT="0" distB="0" distL="114300" distR="114300" simplePos="0" relativeHeight="527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2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false">
                      <a:spAutoFit/>
                    </wps:bodyPr>
                  </wps:wsp>
                </a:graphicData>
              </a:graphic>
            </wp:anchor>
          </w:drawing>
        </mc:Choice>
        <mc:Fallback>
          <w:pict>
            <v:shape id="文本框 23" o:spid="_x0000_s1026" o:spt="202" type="#_x0000_t202" style="position:absolute;left:0pt;margin-top:0pt;height:144pt;width:144pt;mso-position-horizontal:outside;mso-position-horizontal-relative:margin;mso-wrap-style:none;z-index:527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GilQOu1AQAAUwMAAA4AAAAAAAAAAQAgAAAANAEAAGRycy9lMm9E&#10;b2MueG1sUEsFBgAAAAAGAAYAWQEAAFsFAAAAAA==&#10;">
              <v:fill on="f" focussize="0,0"/>
              <v:stroke on="f"/>
              <v:imagedata o:title=""/>
              <o:lock v:ext="edit" aspectratio="f"/>
              <v:textbox inset="0mm,0mm,0mm,0mm" style="mso-fit-shape-to-text:t;">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8"/>
        <w:rFonts w:eastAsia="方正仿宋_GBK"/>
        <w:kern w:val="2"/>
        <w:sz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ind w:right="360" w:firstLine="360"/>
      <w:jc w:val="left"/>
      <w:textAlignment w:val="baseline"/>
      <w:rPr>
        <w:rStyle w:val="8"/>
        <w:rFonts w:eastAsia="方正仿宋_GBK"/>
        <w:kern w:val="2"/>
        <w:sz w:val="28"/>
        <w:lang w:val="en-US" w:eastAsia="zh-CN" w:bidi="ar-SA"/>
      </w:rPr>
    </w:pPr>
    <w:r>
      <w:rPr>
        <w:sz w:val="28"/>
      </w:rPr>
      <mc:AlternateContent>
        <mc:Choice Requires="wps">
          <w:drawing>
            <wp:anchor distT="0" distB="0" distL="114300" distR="114300" simplePos="0" relativeHeight="527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4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wps:txbx>
                    <wps:bodyPr wrap="none" lIns="0" tIns="0" rIns="0" bIns="0" upright="false">
                      <a:spAutoFit/>
                    </wps:bodyPr>
                  </wps:wsp>
                </a:graphicData>
              </a:graphic>
            </wp:anchor>
          </w:drawing>
        </mc:Choice>
        <mc:Fallback>
          <w:pict>
            <v:shape id="文本框 45" o:spid="_x0000_s1026" o:spt="202" type="#_x0000_t202" style="position:absolute;left:0pt;margin-top:0pt;height:144pt;width:144pt;mso-position-horizontal:outside;mso-position-horizontal-relative:margin;mso-wrap-style:none;z-index:52736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DUkXOK1AQAAUwMAAA4AAAAAAAAAAQAgAAAANAEAAGRycy9lMm9E&#10;b2MueG1sUEsFBgAAAAAGAAYAWQEAAFsFAAAAAA==&#10;">
              <v:fill on="f" focussize="0,0"/>
              <v:stroke on="f"/>
              <v:imagedata o:title=""/>
              <o:lock v:ext="edit" aspectratio="f"/>
              <v:textbox inset="0mm,0mm,0mm,0mm" style="mso-fit-shape-to-text:t;">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8"/>
        <w:rFonts w:eastAsia="方正仿宋_GBK"/>
        <w:kern w:val="2"/>
        <w:sz w:val="18"/>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ind w:right="360" w:firstLine="360"/>
      <w:jc w:val="left"/>
      <w:textAlignment w:val="baseline"/>
      <w:rPr>
        <w:rStyle w:val="8"/>
        <w:rFonts w:eastAsia="方正仿宋_GBK"/>
        <w:kern w:val="2"/>
        <w:sz w:val="28"/>
        <w:lang w:val="en-US" w:eastAsia="zh-CN" w:bidi="ar-SA"/>
      </w:rPr>
    </w:pPr>
    <w:r>
      <w:rPr>
        <w:sz w:val="28"/>
      </w:rPr>
      <mc:AlternateContent>
        <mc:Choice Requires="wps">
          <w:drawing>
            <wp:anchor distT="0" distB="0" distL="114300" distR="114300" simplePos="0" relativeHeight="531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4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w:t>
                          </w:r>
                          <w:r>
                            <w:rPr>
                              <w:rFonts w:hint="eastAsia"/>
                              <w:sz w:val="18"/>
                              <w:lang w:eastAsia="zh-CN"/>
                            </w:rPr>
                            <w:fldChar w:fldCharType="end"/>
                          </w:r>
                        </w:p>
                      </w:txbxContent>
                    </wps:txbx>
                    <wps:bodyPr wrap="none" lIns="0" tIns="0" rIns="0" bIns="0" upright="false">
                      <a:spAutoFit/>
                    </wps:bodyPr>
                  </wps:wsp>
                </a:graphicData>
              </a:graphic>
            </wp:anchor>
          </w:drawing>
        </mc:Choice>
        <mc:Fallback>
          <w:pict>
            <v:shape id="文本框 49" o:spid="_x0000_s1026" o:spt="202" type="#_x0000_t202" style="position:absolute;left:0pt;margin-top:0pt;height:144pt;width:144pt;mso-position-horizontal:outside;mso-position-horizontal-relative:margin;mso-wrap-style:none;z-index:53145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IN3AKW1AQAAUwMAAA4AAAAAAAAAAQAgAAAANAEAAGRycy9lMm9E&#10;b2MueG1sUEsFBgAAAAAGAAYAWQEAAFsFAAAAAA==&#10;">
              <v:fill on="f" focussize="0,0"/>
              <v:stroke on="f"/>
              <v:imagedata o:title=""/>
              <o:lock v:ext="edit" aspectratio="f"/>
              <v:textbox inset="0mm,0mm,0mm,0mm" style="mso-fit-shape-to-text:t;">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4</w:t>
                    </w:r>
                    <w:r>
                      <w:rPr>
                        <w:rFonts w:hint="eastAsia"/>
                        <w:sz w:val="18"/>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8"/>
        <w:rFonts w:eastAsia="方正仿宋_GBK"/>
        <w:kern w:val="2"/>
        <w:sz w:val="18"/>
        <w:lang w:val="en-US" w:eastAsia="zh-CN" w:bidi="ar-SA"/>
      </w:rPr>
    </w:pPr>
    <w:r>
      <w:rPr>
        <w:sz w:val="18"/>
      </w:rPr>
      <mc:AlternateContent>
        <mc:Choice Requires="wps">
          <w:drawing>
            <wp:anchor distT="0" distB="0" distL="114300" distR="114300" simplePos="0" relativeHeight="5427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4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 </w:t>
                          </w:r>
                        </w:p>
                      </w:txbxContent>
                    </wps:txbx>
                    <wps:bodyPr wrap="none" lIns="0" tIns="0" rIns="0" bIns="0" upright="false">
                      <a:spAutoFit/>
                    </wps:bodyPr>
                  </wps:wsp>
                </a:graphicData>
              </a:graphic>
            </wp:anchor>
          </w:drawing>
        </mc:Choice>
        <mc:Fallback>
          <w:pict>
            <v:shape id="文本框 40" o:spid="_x0000_s1026" o:spt="202" type="#_x0000_t202" style="position:absolute;left:0pt;margin-top:0pt;height:144pt;width:144pt;mso-position-horizontal:outside;mso-position-horizontal-relative:margin;mso-wrap-style:none;z-index:54272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WAAAAZHJzL1BL&#10;AQIUABQAAAAIAIdO4kDOqXm5zwAAAAUBAAAPAAAAAAAAAAEAIAAAADgAAABkcnMvZG93bnJldi54&#10;bWxQSwECFAAUAAAACACHTuJAtY1SIrQBAABUAwAADgAAAAAAAAABACAAAAA0AQAAZHJzL2Uyb0Rv&#10;Yy54bWxQSwUGAAAAAAYABgBZAQAAWgUAAAAA&#10;">
              <v:fill on="f" focussize="0,0"/>
              <v:stroke on="f"/>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ind w:right="360" w:firstLine="360"/>
      <w:jc w:val="left"/>
      <w:textAlignment w:val="baseline"/>
      <w:rPr>
        <w:rStyle w:val="8"/>
        <w:rFonts w:eastAsia="方正仿宋_GBK"/>
        <w:kern w:val="2"/>
        <w:sz w:val="28"/>
        <w:lang w:val="en-US" w:eastAsia="zh-CN" w:bidi="ar-SA"/>
      </w:rPr>
    </w:pPr>
    <w:r>
      <w:rPr>
        <w:sz w:val="28"/>
      </w:rPr>
      <mc:AlternateContent>
        <mc:Choice Requires="wps">
          <w:drawing>
            <wp:anchor distT="0" distB="0" distL="114300" distR="114300" simplePos="0" relativeHeight="543744" behindDoc="0" locked="0" layoutInCell="1" allowOverlap="1">
              <wp:simplePos x="0" y="0"/>
              <wp:positionH relativeFrom="margin">
                <wp:align>outside</wp:align>
              </wp:positionH>
              <wp:positionV relativeFrom="paragraph">
                <wp:posOffset>0</wp:posOffset>
              </wp:positionV>
              <wp:extent cx="266065" cy="179070"/>
              <wp:effectExtent l="0" t="0" r="0" b="0"/>
              <wp:wrapSquare wrapText="bothSides"/>
              <wp:docPr id="12" name="文本框 41"/>
              <wp:cNvGraphicFramePr/>
              <a:graphic xmlns:a="http://schemas.openxmlformats.org/drawingml/2006/main">
                <a:graphicData uri="http://schemas.microsoft.com/office/word/2010/wordprocessingShape">
                  <wps:wsp>
                    <wps:cNvSpPr txBox="true"/>
                    <wps:spPr>
                      <a:xfrm>
                        <a:off x="0" y="0"/>
                        <a:ext cx="266065" cy="179070"/>
                      </a:xfrm>
                      <a:prstGeom prst="rect">
                        <a:avLst/>
                      </a:prstGeom>
                      <a:noFill/>
                      <a:ln>
                        <a:noFill/>
                      </a:ln>
                    </wps:spPr>
                    <wps:txbx>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wps:txbx>
                    <wps:bodyPr lIns="0" tIns="0" rIns="0" bIns="0" upright="false"/>
                  </wps:wsp>
                </a:graphicData>
              </a:graphic>
            </wp:anchor>
          </w:drawing>
        </mc:Choice>
        <mc:Fallback>
          <w:pict>
            <v:shape id="文本框 41" o:spid="_x0000_s1026" o:spt="202" type="#_x0000_t202" style="position:absolute;left:0pt;margin-top:0pt;height:14.1pt;width:20.95pt;mso-position-horizontal:outside;mso-position-horizontal-relative:margin;mso-wrap-distance-bottom:0pt;mso-wrap-distance-left:9pt;mso-wrap-distance-right:9pt;mso-wrap-distance-top:0pt;z-index:543744;mso-width-relative:page;mso-height-relative:page;" filled="f" stroked="f" coordsize="21600,21600" o:gfxdata="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BYAAABkcnMvUEsBAhQAFAAAAAgA&#10;h07iQGusbMHUAAAAAwEAAA8AAAAAAAAAAQAgAAAAOAAAAGRycy9kb3ducmV2LnhtbFBLAQIUABQA&#10;AAAIAIdO4kAlhB+jpQEAACwDAAAOAAAAAAAAAAEAIAAAADkBAABkcnMvZTJvRG9jLnhtbFBLBQYA&#10;AAAABgAGAFkBAABQBQAAAAA=&#10;">
              <v:fill on="f" focussize="0,0"/>
              <v:stroke on="f"/>
              <v:imagedata o:title=""/>
              <o:lock v:ext="edit" aspectratio="f"/>
              <v:textbox inset="0mm,0mm,0mm,0mm">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p>
                </w:txbxContent>
              </v:textbox>
              <w10:wrap type="square"/>
            </v:shape>
          </w:pict>
        </mc:Fallback>
      </mc:AlternateContent>
    </w:r>
    <w:r>
      <w:rPr>
        <w:sz w:val="28"/>
      </w:rPr>
      <mc:AlternateContent>
        <mc:Choice Requires="wps">
          <w:drawing>
            <wp:anchor distT="0" distB="0" distL="114300" distR="114300" simplePos="0" relativeHeight="535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4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eastAsia="方正仿宋_GBK"/>
                              <w:sz w:val="18"/>
                              <w:lang w:eastAsia="zh-CN"/>
                            </w:rPr>
                          </w:pPr>
                        </w:p>
                      </w:txbxContent>
                    </wps:txbx>
                    <wps:bodyPr wrap="none" lIns="0" tIns="0" rIns="0" bIns="0" upright="false">
                      <a:spAutoFit/>
                    </wps:bodyPr>
                  </wps:wsp>
                </a:graphicData>
              </a:graphic>
            </wp:anchor>
          </w:drawing>
        </mc:Choice>
        <mc:Fallback>
          <w:pict>
            <v:shape id="文本框 42" o:spid="_x0000_s1026" o:spt="202" type="#_x0000_t202" style="position:absolute;left:0pt;margin-top:0pt;height:144pt;width:144pt;mso-position-horizontal:outside;mso-position-horizontal-relative:margin;mso-wrap-style:none;z-index:53555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IVq5ei1AQAAUwMAAA4AAAAAAAAAAQAgAAAANAEAAGRycy9lMm9E&#10;b2MueG1sUEsFBgAAAAAGAAYAWQEAAFsFAAAAAA==&#10;">
              <v:fill on="f" focussize="0,0"/>
              <v:stroke on="f"/>
              <v:imagedata o:title=""/>
              <o:lock v:ext="edit" aspectratio="f"/>
              <v:textbox inset="0mm,0mm,0mm,0mm" style="mso-fit-shape-to-text:t;">
                <w:txbxContent>
                  <w:p>
                    <w:pPr>
                      <w:snapToGrid w:val="0"/>
                      <w:rPr>
                        <w:rFonts w:hint="eastAsia" w:eastAsia="方正仿宋_GBK"/>
                        <w:sz w:val="18"/>
                        <w:lang w:eastAsia="zh-CN"/>
                      </w:rPr>
                    </w:pPr>
                  </w:p>
                </w:txbxContent>
              </v:textbox>
            </v:shape>
          </w:pict>
        </mc:Fallback>
      </mc:AlternateContent>
    </w:r>
    <w:r>
      <w:rPr>
        <w:rStyle w:val="8"/>
        <w:rFonts w:eastAsia="方正仿宋_GBK"/>
        <w:kern w:val="2"/>
        <w:sz w:val="28"/>
        <w:lang w:val="en-US" w:eastAsia="zh-CN" w:bidi="ar-SA"/>
      </w:rPr>
      <mc:AlternateContent>
        <mc:Choice Requires="wps">
          <w:drawing>
            <wp:anchor distT="0" distB="0" distL="114300" distR="114300" simplePos="0" relativeHeight="525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4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widowControl/>
                            <w:snapToGrid w:val="0"/>
                            <w:jc w:val="left"/>
                            <w:textAlignment w:val="baseline"/>
                            <w:rPr>
                              <w:rStyle w:val="8"/>
                              <w:rFonts w:eastAsia="方正仿宋_GBK"/>
                              <w:kern w:val="2"/>
                              <w:sz w:val="28"/>
                              <w:szCs w:val="28"/>
                              <w:lang w:val="en-US" w:eastAsia="zh-CN" w:bidi="ar-SA"/>
                            </w:rPr>
                          </w:pPr>
                          <w:r>
                            <w:rPr>
                              <w:rStyle w:val="8"/>
                              <w:rFonts w:eastAsia="方正仿宋_GBK"/>
                              <w:kern w:val="2"/>
                              <w:sz w:val="28"/>
                              <w:szCs w:val="28"/>
                              <w:lang w:val="en-US" w:eastAsia="zh-CN" w:bidi="ar-SA"/>
                            </w:rPr>
                            <w:t>—  —</w:t>
                          </w:r>
                        </w:p>
                        <w:p>
                          <w:pPr>
                            <w:widowControl/>
                            <w:tabs>
                              <w:tab w:val="center" w:pos="4153"/>
                              <w:tab w:val="right" w:pos="8306"/>
                            </w:tabs>
                            <w:spacing w:line="400" w:lineRule="exact"/>
                            <w:ind w:firstLine="4480" w:firstLineChars="1400"/>
                            <w:textAlignment w:val="baseline"/>
                            <w:rPr>
                              <w:rStyle w:val="8"/>
                            </w:rPr>
                          </w:pPr>
                        </w:p>
                      </w:txbxContent>
                    </wps:txbx>
                    <wps:bodyPr lIns="0" tIns="0" rIns="0" bIns="0" upright="true"/>
                  </wps:wsp>
                </a:graphicData>
              </a:graphic>
            </wp:anchor>
          </w:drawing>
        </mc:Choice>
        <mc:Fallback>
          <w:pict>
            <v:shape id="文本框 43" o:spid="_x0000_s1026" o:spt="202" type="#_x0000_t202" style="position:absolute;left:0pt;margin-top:0pt;height:144pt;width:144pt;mso-position-horizontal:outside;mso-position-horizontal-relative:margin;z-index:525312;mso-width-relative:page;mso-height-relative:page;" filled="f" stroked="f" coordsize="21600,21600" o:gfxdata="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BYAAABkcnMvUEsBAhQAFAAAAAgAh07iQFmk9kDS&#10;AAAABQEAAA8AAAAAAAAAAQAgAAAAOAAAAGRycy9kb3ducmV2LnhtbFBLAQIUABQAAAAIAIdO4kDg&#10;PuYqngEAACwDAAAOAAAAAAAAAAEAIAAAADcBAABkcnMvZTJvRG9jLnhtbFBLBQYAAAAABgAGAFkB&#10;AABHBQAAAAA=&#10;">
              <v:fill on="f" focussize="0,0"/>
              <v:stroke on="f"/>
              <v:imagedata o:title=""/>
              <o:lock v:ext="edit" aspectratio="f"/>
              <v:textbox inset="0mm,0mm,0mm,0mm">
                <w:txbxContent>
                  <w:p>
                    <w:pPr>
                      <w:pStyle w:val="3"/>
                      <w:widowControl/>
                      <w:snapToGrid w:val="0"/>
                      <w:jc w:val="left"/>
                      <w:textAlignment w:val="baseline"/>
                      <w:rPr>
                        <w:rStyle w:val="8"/>
                        <w:rFonts w:eastAsia="方正仿宋_GBK"/>
                        <w:kern w:val="2"/>
                        <w:sz w:val="28"/>
                        <w:szCs w:val="28"/>
                        <w:lang w:val="en-US" w:eastAsia="zh-CN" w:bidi="ar-SA"/>
                      </w:rPr>
                    </w:pPr>
                    <w:r>
                      <w:rPr>
                        <w:rStyle w:val="8"/>
                        <w:rFonts w:eastAsia="方正仿宋_GBK"/>
                        <w:kern w:val="2"/>
                        <w:sz w:val="28"/>
                        <w:szCs w:val="28"/>
                        <w:lang w:val="en-US" w:eastAsia="zh-CN" w:bidi="ar-SA"/>
                      </w:rPr>
                      <w:t>—  —</w:t>
                    </w:r>
                  </w:p>
                  <w:p>
                    <w:pPr>
                      <w:widowControl/>
                      <w:tabs>
                        <w:tab w:val="center" w:pos="4153"/>
                        <w:tab w:val="right" w:pos="8306"/>
                      </w:tabs>
                      <w:spacing w:line="400" w:lineRule="exact"/>
                      <w:ind w:firstLine="4480" w:firstLineChars="1400"/>
                      <w:textAlignment w:val="baseline"/>
                      <w:rPr>
                        <w:rStyle w:val="8"/>
                      </w:rPr>
                    </w:pP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8"/>
        <w:rFonts w:eastAsia="方正仿宋_GBK"/>
        <w:kern w:val="2"/>
        <w:sz w:val="18"/>
        <w:lang w:val="en-US" w:eastAsia="zh-CN" w:bidi="ar-SA"/>
      </w:rPr>
    </w:pPr>
    <w:r>
      <w:rPr>
        <w:sz w:val="18"/>
      </w:rPr>
      <mc:AlternateContent>
        <mc:Choice Requires="wps">
          <w:drawing>
            <wp:anchor distT="0" distB="0" distL="114300" distR="114300" simplePos="0" relativeHeight="54272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5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 </w:t>
                          </w:r>
                        </w:p>
                      </w:txbxContent>
                    </wps:txbx>
                    <wps:bodyPr wrap="none" lIns="0" tIns="0" rIns="0" bIns="0" upright="false">
                      <a:spAutoFit/>
                    </wps:bodyPr>
                  </wps:wsp>
                </a:graphicData>
              </a:graphic>
            </wp:anchor>
          </w:drawing>
        </mc:Choice>
        <mc:Fallback>
          <w:pict>
            <v:shape id="文本框 50" o:spid="_x0000_s1026" o:spt="202" type="#_x0000_t202" style="position:absolute;left:0pt;margin-top:0pt;height:144pt;width:144pt;mso-position-horizontal:outside;mso-position-horizontal-relative:margin;mso-wrap-style:none;z-index:54272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FgAAAGRycy9Q&#10;SwECFAAUAAAACACHTuJAzql5uc8AAAAFAQAADwAAAAAAAAABACAAAAA4AAAAZHJzL2Rvd25yZXYu&#10;eG1sUEsBAhQAFAAAAAgAh07iQHunkSG1AQAAVAMAAA4AAAAAAAAAAQAgAAAANAEAAGRycy9lMm9E&#10;b2MueG1sUEsFBgAAAAAGAAYAWQEAAFsFAAAAAA==&#10;">
              <v:fill on="f" focussize="0,0"/>
              <v:stroke on="f"/>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val="en-US" w:eastAsia="zh-CN"/>
                      </w:rPr>
                      <w:t xml:space="preserve"> —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snapToGrid w:val="0"/>
      <w:jc w:val="left"/>
      <w:textAlignment w:val="baseline"/>
      <w:rPr>
        <w:rStyle w:val="8"/>
        <w:rFonts w:eastAsia="方正仿宋_GBK"/>
        <w:kern w:val="2"/>
        <w:sz w:val="18"/>
        <w:lang w:val="en-US" w:eastAsia="zh-CN" w:bidi="ar-S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tabs>
        <w:tab w:val="center" w:pos="4153"/>
        <w:tab w:val="right" w:pos="8306"/>
      </w:tabs>
      <w:snapToGrid w:val="0"/>
      <w:jc w:val="center"/>
      <w:textAlignment w:val="baseline"/>
      <w:rPr>
        <w:rStyle w:val="8"/>
        <w:rFonts w:ascii="Times New Roman" w:hAnsi="Times New Roman" w:eastAsia="方正仿宋_GBK"/>
        <w:kern w:val="2"/>
        <w:sz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pBdr>
        <w:top w:val="none" w:color="auto" w:sz="0" w:space="0"/>
        <w:left w:val="none" w:color="auto" w:sz="0" w:space="0"/>
        <w:bottom w:val="none" w:color="000000" w:sz="0" w:space="1"/>
        <w:right w:val="none" w:color="auto" w:sz="0" w:space="0"/>
        <w:between w:val="none" w:color="auto" w:sz="0" w:space="0"/>
      </w:pBdr>
      <w:snapToGrid w:val="0"/>
      <w:jc w:val="center"/>
      <w:textAlignment w:val="baseline"/>
      <w:rPr>
        <w:rStyle w:val="8"/>
        <w:rFonts w:eastAsia="方正仿宋_GBK"/>
        <w:kern w:val="2"/>
        <w:sz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tabs>
        <w:tab w:val="center" w:pos="4153"/>
        <w:tab w:val="right" w:pos="8306"/>
      </w:tabs>
      <w:snapToGrid w:val="0"/>
      <w:jc w:val="center"/>
      <w:textAlignment w:val="baseline"/>
      <w:rPr>
        <w:rStyle w:val="8"/>
        <w:rFonts w:ascii="Times New Roman" w:hAnsi="Times New Roman" w:eastAsia="方正仿宋_GBK"/>
        <w:kern w:val="2"/>
        <w:sz w:val="18"/>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tabs>
        <w:tab w:val="center" w:pos="4153"/>
        <w:tab w:val="right" w:pos="8306"/>
      </w:tabs>
      <w:snapToGrid w:val="0"/>
      <w:jc w:val="center"/>
      <w:textAlignment w:val="baseline"/>
      <w:rPr>
        <w:rStyle w:val="8"/>
        <w:rFonts w:ascii="Times New Roman" w:hAnsi="Times New Roman" w:eastAsia="方正仿宋_GBK"/>
        <w:kern w:val="2"/>
        <w:sz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C09A22"/>
    <w:multiLevelType w:val="singleLevel"/>
    <w:tmpl w:val="96C09A22"/>
    <w:lvl w:ilvl="0" w:tentative="0">
      <w:start w:val="1"/>
      <w:numFmt w:val="decimal"/>
      <w:suff w:val="space"/>
      <w:lvlText w:val="%1."/>
      <w:lvlJc w:val="left"/>
      <w:pPr>
        <w:widowControl/>
        <w:textAlignment w:val="baseline"/>
      </w:pPr>
      <w:rPr>
        <w:rStyle w:val="8"/>
      </w:rPr>
    </w:lvl>
  </w:abstractNum>
  <w:abstractNum w:abstractNumId="1">
    <w:nsid w:val="A1010A07"/>
    <w:multiLevelType w:val="singleLevel"/>
    <w:tmpl w:val="A1010A07"/>
    <w:lvl w:ilvl="0" w:tentative="0">
      <w:start w:val="2"/>
      <w:numFmt w:val="decimal"/>
      <w:suff w:val="space"/>
      <w:lvlText w:val="%1."/>
      <w:lvlJc w:val="left"/>
      <w:pPr>
        <w:widowControl/>
        <w:textAlignment w:val="baseline"/>
      </w:pPr>
      <w:rPr>
        <w:rStyle w:val="8"/>
      </w:rPr>
    </w:lvl>
  </w:abstractNum>
  <w:abstractNum w:abstractNumId="2">
    <w:nsid w:val="B2CD14B2"/>
    <w:multiLevelType w:val="singleLevel"/>
    <w:tmpl w:val="B2CD14B2"/>
    <w:lvl w:ilvl="0" w:tentative="0">
      <w:start w:val="1"/>
      <w:numFmt w:val="decimal"/>
      <w:suff w:val="nothing"/>
      <w:lvlText w:val="%1．"/>
      <w:lvlJc w:val="left"/>
      <w:pPr>
        <w:widowControl/>
        <w:ind w:left="0" w:firstLine="400"/>
        <w:textAlignment w:val="baseline"/>
      </w:pPr>
      <w:rPr>
        <w:rStyle w:val="8"/>
      </w:rPr>
    </w:lvl>
  </w:abstractNum>
  <w:abstractNum w:abstractNumId="3">
    <w:nsid w:val="B7DA2969"/>
    <w:multiLevelType w:val="singleLevel"/>
    <w:tmpl w:val="B7DA2969"/>
    <w:lvl w:ilvl="0" w:tentative="0">
      <w:start w:val="2"/>
      <w:numFmt w:val="decimal"/>
      <w:suff w:val="space"/>
      <w:lvlText w:val="%1."/>
      <w:lvlJc w:val="left"/>
      <w:pPr>
        <w:widowControl/>
        <w:textAlignment w:val="baseline"/>
      </w:pPr>
      <w:rPr>
        <w:rStyle w:val="8"/>
      </w:rPr>
    </w:lvl>
  </w:abstractNum>
  <w:abstractNum w:abstractNumId="4">
    <w:nsid w:val="C0258451"/>
    <w:multiLevelType w:val="singleLevel"/>
    <w:tmpl w:val="C0258451"/>
    <w:lvl w:ilvl="0" w:tentative="0">
      <w:start w:val="1"/>
      <w:numFmt w:val="chineseCounting"/>
      <w:suff w:val="nothing"/>
      <w:lvlText w:val="（%1）"/>
      <w:lvlJc w:val="left"/>
      <w:pPr>
        <w:widowControl/>
        <w:textAlignment w:val="baseline"/>
      </w:pPr>
      <w:rPr>
        <w:rStyle w:val="8"/>
      </w:rPr>
    </w:lvl>
  </w:abstractNum>
  <w:abstractNum w:abstractNumId="5">
    <w:nsid w:val="D5F4711B"/>
    <w:multiLevelType w:val="singleLevel"/>
    <w:tmpl w:val="D5F4711B"/>
    <w:lvl w:ilvl="0" w:tentative="0">
      <w:start w:val="1"/>
      <w:numFmt w:val="decimal"/>
      <w:suff w:val="space"/>
      <w:lvlText w:val="%1."/>
      <w:lvlJc w:val="left"/>
      <w:pPr>
        <w:widowControl/>
        <w:textAlignment w:val="baseline"/>
      </w:pPr>
      <w:rPr>
        <w:rStyle w:val="8"/>
      </w:rPr>
    </w:lvl>
  </w:abstractNum>
  <w:abstractNum w:abstractNumId="6">
    <w:nsid w:val="E6A7967E"/>
    <w:multiLevelType w:val="singleLevel"/>
    <w:tmpl w:val="E6A7967E"/>
    <w:lvl w:ilvl="0" w:tentative="0">
      <w:start w:val="3"/>
      <w:numFmt w:val="decimal"/>
      <w:suff w:val="space"/>
      <w:lvlText w:val="%1."/>
      <w:lvlJc w:val="left"/>
      <w:pPr>
        <w:widowControl/>
        <w:textAlignment w:val="baseline"/>
      </w:pPr>
      <w:rPr>
        <w:rStyle w:val="8"/>
      </w:rPr>
    </w:lvl>
  </w:abstractNum>
  <w:abstractNum w:abstractNumId="7">
    <w:nsid w:val="ED717F9E"/>
    <w:multiLevelType w:val="singleLevel"/>
    <w:tmpl w:val="ED717F9E"/>
    <w:lvl w:ilvl="0" w:tentative="0">
      <w:start w:val="1"/>
      <w:numFmt w:val="decimal"/>
      <w:suff w:val="space"/>
      <w:lvlText w:val="%1."/>
      <w:lvlJc w:val="left"/>
      <w:pPr>
        <w:widowControl/>
        <w:textAlignment w:val="baseline"/>
      </w:pPr>
      <w:rPr>
        <w:rStyle w:val="8"/>
      </w:rPr>
    </w:lvl>
  </w:abstractNum>
  <w:abstractNum w:abstractNumId="8">
    <w:nsid w:val="EDAEC34A"/>
    <w:multiLevelType w:val="singleLevel"/>
    <w:tmpl w:val="EDAEC34A"/>
    <w:lvl w:ilvl="0" w:tentative="0">
      <w:start w:val="1"/>
      <w:numFmt w:val="decimal"/>
      <w:suff w:val="space"/>
      <w:lvlText w:val="%1."/>
      <w:lvlJc w:val="left"/>
      <w:pPr>
        <w:widowControl/>
        <w:textAlignment w:val="baseline"/>
      </w:pPr>
      <w:rPr>
        <w:rStyle w:val="8"/>
      </w:rPr>
    </w:lvl>
  </w:abstractNum>
  <w:abstractNum w:abstractNumId="9">
    <w:nsid w:val="F3DA96B7"/>
    <w:multiLevelType w:val="singleLevel"/>
    <w:tmpl w:val="F3DA96B7"/>
    <w:lvl w:ilvl="0" w:tentative="0">
      <w:start w:val="1"/>
      <w:numFmt w:val="decimal"/>
      <w:suff w:val="space"/>
      <w:lvlText w:val="%1."/>
      <w:lvlJc w:val="left"/>
      <w:pPr>
        <w:widowControl/>
        <w:textAlignment w:val="baseline"/>
      </w:pPr>
      <w:rPr>
        <w:rStyle w:val="8"/>
      </w:rPr>
    </w:lvl>
  </w:abstractNum>
  <w:abstractNum w:abstractNumId="10">
    <w:nsid w:val="186625FF"/>
    <w:multiLevelType w:val="singleLevel"/>
    <w:tmpl w:val="186625FF"/>
    <w:lvl w:ilvl="0" w:tentative="0">
      <w:start w:val="1"/>
      <w:numFmt w:val="decimal"/>
      <w:suff w:val="space"/>
      <w:lvlText w:val="%1."/>
      <w:lvlJc w:val="left"/>
      <w:pPr>
        <w:widowControl/>
        <w:textAlignment w:val="baseline"/>
      </w:pPr>
      <w:rPr>
        <w:rStyle w:val="8"/>
      </w:rPr>
    </w:lvl>
  </w:abstractNum>
  <w:abstractNum w:abstractNumId="11">
    <w:nsid w:val="20A22BAA"/>
    <w:multiLevelType w:val="singleLevel"/>
    <w:tmpl w:val="20A22BAA"/>
    <w:lvl w:ilvl="0" w:tentative="0">
      <w:start w:val="1"/>
      <w:numFmt w:val="chineseCounting"/>
      <w:suff w:val="nothing"/>
      <w:lvlText w:val="（%1）"/>
      <w:lvlJc w:val="left"/>
      <w:pPr>
        <w:widowControl/>
        <w:textAlignment w:val="baseline"/>
      </w:pPr>
      <w:rPr>
        <w:rStyle w:val="8"/>
      </w:rPr>
    </w:lvl>
  </w:abstractNum>
  <w:abstractNum w:abstractNumId="12">
    <w:nsid w:val="2496AEAA"/>
    <w:multiLevelType w:val="singleLevel"/>
    <w:tmpl w:val="2496AEAA"/>
    <w:lvl w:ilvl="0" w:tentative="0">
      <w:start w:val="1"/>
      <w:numFmt w:val="decimal"/>
      <w:suff w:val="space"/>
      <w:lvlText w:val="%1."/>
      <w:lvlJc w:val="left"/>
      <w:pPr>
        <w:widowControl/>
        <w:textAlignment w:val="baseline"/>
      </w:pPr>
      <w:rPr>
        <w:rStyle w:val="8"/>
      </w:rPr>
    </w:lvl>
  </w:abstractNum>
  <w:abstractNum w:abstractNumId="13">
    <w:nsid w:val="2FFC63E3"/>
    <w:multiLevelType w:val="singleLevel"/>
    <w:tmpl w:val="2FFC63E3"/>
    <w:lvl w:ilvl="0" w:tentative="0">
      <w:start w:val="1"/>
      <w:numFmt w:val="decimal"/>
      <w:suff w:val="space"/>
      <w:lvlText w:val="%1."/>
      <w:lvlJc w:val="left"/>
      <w:pPr>
        <w:widowControl/>
        <w:textAlignment w:val="baseline"/>
      </w:pPr>
      <w:rPr>
        <w:rStyle w:val="8"/>
      </w:rPr>
    </w:lvl>
  </w:abstractNum>
  <w:abstractNum w:abstractNumId="14">
    <w:nsid w:val="4F0D4E9C"/>
    <w:multiLevelType w:val="singleLevel"/>
    <w:tmpl w:val="4F0D4E9C"/>
    <w:lvl w:ilvl="0" w:tentative="0">
      <w:start w:val="2"/>
      <w:numFmt w:val="chineseCounting"/>
      <w:suff w:val="nothing"/>
      <w:lvlText w:val="%1、"/>
      <w:lvlJc w:val="left"/>
      <w:pPr>
        <w:widowControl/>
        <w:textAlignment w:val="baseline"/>
      </w:pPr>
      <w:rPr>
        <w:rStyle w:val="8"/>
      </w:rPr>
    </w:lvl>
  </w:abstractNum>
  <w:abstractNum w:abstractNumId="15">
    <w:nsid w:val="555A9BF6"/>
    <w:multiLevelType w:val="singleLevel"/>
    <w:tmpl w:val="555A9BF6"/>
    <w:lvl w:ilvl="0" w:tentative="0">
      <w:start w:val="2"/>
      <w:numFmt w:val="decimal"/>
      <w:suff w:val="space"/>
      <w:lvlText w:val="%1."/>
      <w:lvlJc w:val="left"/>
      <w:pPr>
        <w:widowControl/>
        <w:textAlignment w:val="baseline"/>
      </w:pPr>
      <w:rPr>
        <w:rStyle w:val="8"/>
      </w:rPr>
    </w:lvl>
  </w:abstractNum>
  <w:abstractNum w:abstractNumId="16">
    <w:nsid w:val="7EF214E3"/>
    <w:multiLevelType w:val="singleLevel"/>
    <w:tmpl w:val="7EF214E3"/>
    <w:lvl w:ilvl="0" w:tentative="0">
      <w:start w:val="1"/>
      <w:numFmt w:val="chineseCounting"/>
      <w:suff w:val="nothing"/>
      <w:lvlText w:val="（%1）"/>
      <w:lvlJc w:val="left"/>
      <w:pPr>
        <w:widowControl/>
        <w:textAlignment w:val="baseline"/>
      </w:pPr>
      <w:rPr>
        <w:rStyle w:val="8"/>
        <w:rFonts w:ascii="方正楷体_GBK" w:hAnsi="方正楷体_GBK" w:eastAsia="方正楷体_GBK"/>
      </w:rPr>
    </w:lvl>
  </w:abstractNum>
  <w:num w:numId="1">
    <w:abstractNumId w:val="11"/>
  </w:num>
  <w:num w:numId="2">
    <w:abstractNumId w:val="2"/>
  </w:num>
  <w:num w:numId="3">
    <w:abstractNumId w:val="0"/>
  </w:num>
  <w:num w:numId="4">
    <w:abstractNumId w:val="14"/>
  </w:num>
  <w:num w:numId="5">
    <w:abstractNumId w:val="16"/>
  </w:num>
  <w:num w:numId="6">
    <w:abstractNumId w:val="7"/>
  </w:num>
  <w:num w:numId="7">
    <w:abstractNumId w:val="9"/>
  </w:num>
  <w:num w:numId="8">
    <w:abstractNumId w:val="3"/>
  </w:num>
  <w:num w:numId="9">
    <w:abstractNumId w:val="15"/>
  </w:num>
  <w:num w:numId="10">
    <w:abstractNumId w:val="1"/>
  </w:num>
  <w:num w:numId="11">
    <w:abstractNumId w:val="6"/>
  </w:num>
  <w:num w:numId="12">
    <w:abstractNumId w:val="4"/>
  </w:num>
  <w:num w:numId="13">
    <w:abstractNumId w:val="5"/>
  </w:num>
  <w:num w:numId="14">
    <w:abstractNumId w:val="8"/>
  </w:num>
  <w:num w:numId="15">
    <w:abstractNumId w:val="10"/>
  </w:num>
  <w:num w:numId="16">
    <w:abstractNumId w:val="12"/>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5"/>
  <w:displayHorizontalDrawingGridEvery w:val="2"/>
  <w:displayVerticalDrawingGridEvery w:val="2"/>
  <w:doNotUseMarginsForDrawingGridOrigin w:val="true"/>
  <w:drawingGridHorizontalOrigin w:val="1800"/>
  <w:drawingGridVerticalOrigin w:val="1440"/>
  <w:hdrShapeDefaults>
    <o:shapelayout v:ext="edit">
      <o:idmap v:ext="edit" data="2"/>
    </o:shapelayout>
  </w:hdrShapeDefaults>
  <w:compat>
    <w:balanceSingleByteDoubleByteWidth/>
    <w:doNotLeaveBackslashAlon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D0753"/>
    <w:rsid w:val="017B1FE8"/>
    <w:rsid w:val="01BA2514"/>
    <w:rsid w:val="02BB7261"/>
    <w:rsid w:val="032E0800"/>
    <w:rsid w:val="038674D0"/>
    <w:rsid w:val="04463F62"/>
    <w:rsid w:val="04D24E9D"/>
    <w:rsid w:val="076376AE"/>
    <w:rsid w:val="07C16EB5"/>
    <w:rsid w:val="07FB3639"/>
    <w:rsid w:val="086665FE"/>
    <w:rsid w:val="08DD7C76"/>
    <w:rsid w:val="0ADC193C"/>
    <w:rsid w:val="0D99026C"/>
    <w:rsid w:val="0DB04B73"/>
    <w:rsid w:val="0DDC575C"/>
    <w:rsid w:val="0E532D3A"/>
    <w:rsid w:val="0FAE4DF3"/>
    <w:rsid w:val="10B85120"/>
    <w:rsid w:val="126658AC"/>
    <w:rsid w:val="1396152C"/>
    <w:rsid w:val="1536626D"/>
    <w:rsid w:val="155A46E1"/>
    <w:rsid w:val="16821FBA"/>
    <w:rsid w:val="180F5974"/>
    <w:rsid w:val="18187836"/>
    <w:rsid w:val="189C75A6"/>
    <w:rsid w:val="18BF451F"/>
    <w:rsid w:val="19882D5D"/>
    <w:rsid w:val="19DD1726"/>
    <w:rsid w:val="19E93F3E"/>
    <w:rsid w:val="19ED7196"/>
    <w:rsid w:val="19FD7032"/>
    <w:rsid w:val="1A131880"/>
    <w:rsid w:val="1A1E49FA"/>
    <w:rsid w:val="1AD6235C"/>
    <w:rsid w:val="1B436F72"/>
    <w:rsid w:val="1B6E7776"/>
    <w:rsid w:val="1C1309B7"/>
    <w:rsid w:val="1C6709F4"/>
    <w:rsid w:val="1C6B6CD4"/>
    <w:rsid w:val="1E463454"/>
    <w:rsid w:val="1FB60BE9"/>
    <w:rsid w:val="202E39C3"/>
    <w:rsid w:val="20C516F9"/>
    <w:rsid w:val="234D54DC"/>
    <w:rsid w:val="23766553"/>
    <w:rsid w:val="23E91E39"/>
    <w:rsid w:val="24415234"/>
    <w:rsid w:val="250F3BAD"/>
    <w:rsid w:val="259755EE"/>
    <w:rsid w:val="259F30EF"/>
    <w:rsid w:val="285626BA"/>
    <w:rsid w:val="28D558BE"/>
    <w:rsid w:val="29462B7A"/>
    <w:rsid w:val="2A073B4D"/>
    <w:rsid w:val="2AA83CE4"/>
    <w:rsid w:val="2AC62AA0"/>
    <w:rsid w:val="2B100C9C"/>
    <w:rsid w:val="2F057320"/>
    <w:rsid w:val="307359B4"/>
    <w:rsid w:val="30CC1CC4"/>
    <w:rsid w:val="31794359"/>
    <w:rsid w:val="33370309"/>
    <w:rsid w:val="366E55B1"/>
    <w:rsid w:val="36A26C69"/>
    <w:rsid w:val="371C6684"/>
    <w:rsid w:val="376D1B7E"/>
    <w:rsid w:val="39B3495D"/>
    <w:rsid w:val="3B321EA8"/>
    <w:rsid w:val="3CEE7E77"/>
    <w:rsid w:val="3FC65A75"/>
    <w:rsid w:val="3FFF7A6F"/>
    <w:rsid w:val="411E7E58"/>
    <w:rsid w:val="42614588"/>
    <w:rsid w:val="429F5C6D"/>
    <w:rsid w:val="446037BB"/>
    <w:rsid w:val="44CE24A8"/>
    <w:rsid w:val="44DA621D"/>
    <w:rsid w:val="455A3CDD"/>
    <w:rsid w:val="456D6498"/>
    <w:rsid w:val="46A05DC2"/>
    <w:rsid w:val="48476CCA"/>
    <w:rsid w:val="49C9317C"/>
    <w:rsid w:val="4A32344B"/>
    <w:rsid w:val="4A6634D5"/>
    <w:rsid w:val="4AA13D62"/>
    <w:rsid w:val="4AF3235B"/>
    <w:rsid w:val="4B624E76"/>
    <w:rsid w:val="4DD62644"/>
    <w:rsid w:val="4DEC1497"/>
    <w:rsid w:val="4E7B1B18"/>
    <w:rsid w:val="4EA44957"/>
    <w:rsid w:val="4F5E50E6"/>
    <w:rsid w:val="50E47985"/>
    <w:rsid w:val="52CB339C"/>
    <w:rsid w:val="53B234F1"/>
    <w:rsid w:val="53BB39AD"/>
    <w:rsid w:val="541F1826"/>
    <w:rsid w:val="560D7575"/>
    <w:rsid w:val="56D62AAE"/>
    <w:rsid w:val="575731A7"/>
    <w:rsid w:val="581073FA"/>
    <w:rsid w:val="58C87AAC"/>
    <w:rsid w:val="59F31ED7"/>
    <w:rsid w:val="5A58476B"/>
    <w:rsid w:val="5BAA6794"/>
    <w:rsid w:val="5C203E0F"/>
    <w:rsid w:val="5D2B02A8"/>
    <w:rsid w:val="5D4132F6"/>
    <w:rsid w:val="5D796815"/>
    <w:rsid w:val="5DD31EEE"/>
    <w:rsid w:val="5E382D03"/>
    <w:rsid w:val="5E417061"/>
    <w:rsid w:val="5E515637"/>
    <w:rsid w:val="5E91525B"/>
    <w:rsid w:val="5ED06960"/>
    <w:rsid w:val="5EEF722F"/>
    <w:rsid w:val="5F892399"/>
    <w:rsid w:val="63AE0341"/>
    <w:rsid w:val="640B534E"/>
    <w:rsid w:val="64A6419B"/>
    <w:rsid w:val="65B85DC3"/>
    <w:rsid w:val="67132985"/>
    <w:rsid w:val="67C02334"/>
    <w:rsid w:val="688B65FA"/>
    <w:rsid w:val="69AC4A63"/>
    <w:rsid w:val="6A7668FA"/>
    <w:rsid w:val="6C182B9D"/>
    <w:rsid w:val="6C1B6C25"/>
    <w:rsid w:val="6D4D65C5"/>
    <w:rsid w:val="6D9B151E"/>
    <w:rsid w:val="6E0603DD"/>
    <w:rsid w:val="6E821C2A"/>
    <w:rsid w:val="6EA9082F"/>
    <w:rsid w:val="6F220877"/>
    <w:rsid w:val="6F870BBF"/>
    <w:rsid w:val="727B2737"/>
    <w:rsid w:val="73647D52"/>
    <w:rsid w:val="756C4DD3"/>
    <w:rsid w:val="785F2353"/>
    <w:rsid w:val="79A81398"/>
    <w:rsid w:val="7A2D392F"/>
    <w:rsid w:val="7A410265"/>
    <w:rsid w:val="7D695A45"/>
    <w:rsid w:val="7F9D2390"/>
    <w:rsid w:val="7FF145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5"/>
    <w:qFormat/>
    <w:uiPriority w:val="0"/>
    <w:pPr>
      <w:jc w:val="both"/>
      <w:textAlignment w:val="baseline"/>
    </w:pPr>
    <w:rPr>
      <w:rFonts w:ascii="Times New Roman" w:hAnsi="Times New Roman" w:eastAsia="方正仿宋_GBK" w:cstheme="minorBidi"/>
      <w:kern w:val="2"/>
      <w:sz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PlainText"/>
    <w:basedOn w:val="1"/>
    <w:qFormat/>
    <w:uiPriority w:val="0"/>
    <w:pPr>
      <w:spacing w:line="594" w:lineRule="exact"/>
      <w:jc w:val="both"/>
      <w:textAlignment w:val="baseline"/>
    </w:pPr>
    <w:rPr>
      <w:rFonts w:ascii="宋体" w:hAnsi="Courier New" w:eastAsia="宋体"/>
      <w:kern w:val="2"/>
      <w:sz w:val="21"/>
      <w:szCs w:val="21"/>
      <w:lang w:val="en-US" w:eastAsia="zh-CN" w:bidi="ar-SA"/>
    </w:rPr>
  </w:style>
  <w:style w:type="paragraph" w:styleId="3">
    <w:name w:val="footer"/>
    <w:basedOn w:val="1"/>
    <w:qFormat/>
    <w:uiPriority w:val="0"/>
    <w:pPr>
      <w:tabs>
        <w:tab w:val="center" w:pos="4153"/>
        <w:tab w:val="right" w:pos="8306"/>
      </w:tabs>
      <w:snapToGrid w:val="0"/>
      <w:jc w:val="left"/>
      <w:textAlignment w:val="baseline"/>
    </w:pPr>
    <w:rPr>
      <w:rFonts w:eastAsia="方正仿宋_GBK"/>
      <w:kern w:val="2"/>
      <w:sz w:val="18"/>
      <w:lang w:val="en-US" w:eastAsia="zh-CN" w:bidi="ar-SA"/>
    </w:rPr>
  </w:style>
  <w:style w:type="paragraph" w:styleId="4">
    <w:name w:val="header"/>
    <w:basedOn w:val="1"/>
    <w:qFormat/>
    <w:uiPriority w:val="0"/>
    <w:pPr>
      <w:pBdr>
        <w:bottom w:val="single" w:color="000000" w:sz="6" w:space="1"/>
      </w:pBdr>
      <w:tabs>
        <w:tab w:val="center" w:pos="4153"/>
        <w:tab w:val="right" w:pos="8306"/>
      </w:tabs>
      <w:snapToGrid w:val="0"/>
      <w:jc w:val="center"/>
      <w:textAlignment w:val="baseline"/>
    </w:pPr>
    <w:rPr>
      <w:rFonts w:eastAsia="方正仿宋_GBK"/>
      <w:kern w:val="2"/>
      <w:sz w:val="18"/>
      <w:lang w:val="en-US" w:eastAsia="zh-CN" w:bidi="ar-SA"/>
    </w:rPr>
  </w:style>
  <w:style w:type="character" w:styleId="7">
    <w:name w:val="Strong"/>
    <w:basedOn w:val="8"/>
    <w:link w:val="1"/>
    <w:qFormat/>
    <w:uiPriority w:val="0"/>
    <w:rPr>
      <w:b/>
    </w:rPr>
  </w:style>
  <w:style w:type="character" w:customStyle="1" w:styleId="8">
    <w:name w:val="NormalCharacter"/>
    <w:link w:val="9"/>
    <w:semiHidden/>
    <w:qFormat/>
    <w:uiPriority w:val="0"/>
  </w:style>
  <w:style w:type="paragraph" w:customStyle="1" w:styleId="9">
    <w:name w:val="UserStyle_1"/>
    <w:basedOn w:val="1"/>
    <w:link w:val="8"/>
    <w:semiHidden/>
    <w:qFormat/>
    <w:uiPriority w:val="0"/>
    <w:pPr>
      <w:jc w:val="both"/>
      <w:textAlignment w:val="baseline"/>
    </w:pPr>
  </w:style>
  <w:style w:type="paragraph" w:customStyle="1" w:styleId="10">
    <w:name w:val="Heading1"/>
    <w:basedOn w:val="1"/>
    <w:next w:val="1"/>
    <w:qFormat/>
    <w:uiPriority w:val="0"/>
    <w:pPr>
      <w:keepNext/>
      <w:keepLines/>
      <w:spacing w:before="340" w:after="330" w:line="576" w:lineRule="auto"/>
      <w:jc w:val="both"/>
      <w:textAlignment w:val="baseline"/>
    </w:pPr>
    <w:rPr>
      <w:rFonts w:eastAsia="方正仿宋_GBK"/>
      <w:b/>
      <w:kern w:val="44"/>
      <w:sz w:val="44"/>
      <w:lang w:val="en-US" w:eastAsia="zh-CN" w:bidi="ar-SA"/>
    </w:rPr>
  </w:style>
  <w:style w:type="paragraph" w:customStyle="1" w:styleId="11">
    <w:name w:val="Heading2"/>
    <w:basedOn w:val="1"/>
    <w:next w:val="1"/>
    <w:qFormat/>
    <w:uiPriority w:val="0"/>
    <w:pPr>
      <w:keepNext/>
      <w:keepLines/>
      <w:spacing w:before="260" w:after="260" w:line="413" w:lineRule="auto"/>
      <w:jc w:val="both"/>
      <w:textAlignment w:val="baseline"/>
    </w:pPr>
    <w:rPr>
      <w:rFonts w:ascii="Arial" w:hAnsi="Arial" w:eastAsia="黑体"/>
      <w:b/>
      <w:kern w:val="2"/>
      <w:sz w:val="32"/>
      <w:lang w:val="en-US" w:eastAsia="zh-CN" w:bidi="ar-SA"/>
    </w:rPr>
  </w:style>
  <w:style w:type="table" w:customStyle="1" w:styleId="12">
    <w:name w:val="TableNormal"/>
    <w:semiHidden/>
    <w:qFormat/>
    <w:uiPriority w:val="0"/>
  </w:style>
  <w:style w:type="paragraph" w:customStyle="1" w:styleId="13">
    <w:name w:val="BodyText"/>
    <w:basedOn w:val="1"/>
    <w:next w:val="14"/>
    <w:qFormat/>
    <w:uiPriority w:val="0"/>
    <w:pPr>
      <w:ind w:left="100" w:leftChars="100" w:right="100" w:rightChars="100"/>
      <w:jc w:val="both"/>
      <w:textAlignment w:val="baseline"/>
    </w:pPr>
  </w:style>
  <w:style w:type="paragraph" w:customStyle="1" w:styleId="14">
    <w:name w:val="UserStyle_0"/>
    <w:qFormat/>
    <w:uiPriority w:val="0"/>
    <w:pPr>
      <w:widowControl/>
      <w:textAlignment w:val="baseline"/>
    </w:pPr>
    <w:rPr>
      <w:rFonts w:ascii="Helvetica" w:hAnsi="Helvetica" w:eastAsia="Helvetica" w:cstheme="minorBidi"/>
      <w:color w:val="000000"/>
      <w:sz w:val="22"/>
      <w:szCs w:val="22"/>
      <w:lang w:val="en-US" w:eastAsia="zh-CN" w:bidi="ar-SA"/>
    </w:rPr>
  </w:style>
  <w:style w:type="paragraph" w:customStyle="1" w:styleId="15">
    <w:name w:val="Acetate"/>
    <w:basedOn w:val="1"/>
    <w:semiHidden/>
    <w:qFormat/>
    <w:uiPriority w:val="0"/>
    <w:pPr>
      <w:jc w:val="both"/>
      <w:textAlignment w:val="baseline"/>
    </w:pPr>
    <w:rPr>
      <w:rFonts w:eastAsia="方正仿宋_GBK"/>
      <w:kern w:val="2"/>
      <w:sz w:val="18"/>
      <w:szCs w:val="18"/>
      <w:lang w:val="en-US" w:eastAsia="zh-CN" w:bidi="ar-SA"/>
    </w:rPr>
  </w:style>
  <w:style w:type="paragraph" w:customStyle="1" w:styleId="16">
    <w:name w:val="TOC1"/>
    <w:basedOn w:val="1"/>
    <w:next w:val="1"/>
    <w:qFormat/>
    <w:uiPriority w:val="0"/>
    <w:pPr>
      <w:spacing w:line="180" w:lineRule="auto"/>
      <w:jc w:val="center"/>
      <w:textAlignment w:val="baseline"/>
    </w:pPr>
    <w:rPr>
      <w:rFonts w:eastAsia="方正仿宋_GBK"/>
      <w:kern w:val="2"/>
      <w:sz w:val="30"/>
      <w:lang w:val="en-US" w:eastAsia="zh-CN" w:bidi="ar-SA"/>
    </w:rPr>
  </w:style>
  <w:style w:type="paragraph" w:customStyle="1" w:styleId="17">
    <w:name w:val="TOC2"/>
    <w:basedOn w:val="1"/>
    <w:next w:val="1"/>
    <w:qFormat/>
    <w:uiPriority w:val="0"/>
    <w:pPr>
      <w:ind w:left="420" w:leftChars="200"/>
      <w:jc w:val="both"/>
      <w:textAlignment w:val="baseline"/>
    </w:pPr>
  </w:style>
  <w:style w:type="paragraph" w:customStyle="1" w:styleId="18">
    <w:name w:val="HtmlNormal"/>
    <w:basedOn w:val="1"/>
    <w:qFormat/>
    <w:uiPriority w:val="0"/>
    <w:pPr>
      <w:spacing w:before="100" w:beforeAutospacing="1" w:after="100" w:afterAutospacing="1"/>
      <w:ind w:left="0" w:right="0"/>
      <w:jc w:val="left"/>
      <w:textAlignment w:val="baseline"/>
    </w:pPr>
    <w:rPr>
      <w:rFonts w:eastAsia="方正仿宋_GBK"/>
      <w:kern w:val="0"/>
      <w:sz w:val="24"/>
      <w:lang w:val="en-US" w:eastAsia="zh-CN"/>
    </w:rPr>
  </w:style>
  <w:style w:type="paragraph" w:customStyle="1" w:styleId="19">
    <w:name w:val="BodyText1I"/>
    <w:basedOn w:val="13"/>
    <w:qFormat/>
    <w:uiPriority w:val="0"/>
    <w:pPr>
      <w:spacing w:line="360" w:lineRule="auto"/>
      <w:ind w:left="100" w:leftChars="100" w:right="100" w:rightChars="100" w:firstLine="420"/>
      <w:jc w:val="both"/>
      <w:textAlignment w:val="baseline"/>
    </w:pPr>
    <w:rPr>
      <w:rFonts w:ascii="宋体" w:hAnsi="宋体"/>
      <w:sz w:val="24"/>
    </w:rPr>
  </w:style>
  <w:style w:type="character" w:customStyle="1" w:styleId="20">
    <w:name w:val="PageNumber"/>
    <w:basedOn w:val="8"/>
    <w:link w:val="1"/>
    <w:qFormat/>
    <w:uiPriority w:val="0"/>
  </w:style>
  <w:style w:type="character" w:customStyle="1" w:styleId="21">
    <w:name w:val="UserStyle_2"/>
    <w:basedOn w:val="8"/>
    <w:link w:val="1"/>
    <w:qFormat/>
    <w:uiPriority w:val="0"/>
    <w:rPr>
      <w:rFonts w:ascii="宋体" w:hAnsi="宋体" w:eastAsia="宋体"/>
      <w:color w:val="000000"/>
      <w:sz w:val="28"/>
      <w:szCs w:val="28"/>
    </w:rPr>
  </w:style>
  <w:style w:type="character" w:customStyle="1" w:styleId="22">
    <w:name w:val="UserStyle_3"/>
    <w:link w:val="1"/>
    <w:semiHidden/>
    <w:qFormat/>
    <w:uiPriority w:val="0"/>
    <w:rPr>
      <w:rFonts w:ascii="Times New Roman" w:hAnsi="Times New Roman" w:eastAsia="宋体"/>
      <w:kern w:val="2"/>
      <w:sz w:val="21"/>
      <w:szCs w:val="24"/>
      <w:lang w:val="en-US" w:eastAsia="zh-CN" w:bidi="ar-SA"/>
    </w:rPr>
  </w:style>
  <w:style w:type="character" w:customStyle="1" w:styleId="23">
    <w:name w:val="UserStyle_4"/>
    <w:basedOn w:val="8"/>
    <w:link w:val="1"/>
    <w:qFormat/>
    <w:uiPriority w:val="0"/>
    <w:rPr>
      <w:rFonts w:ascii="Times New Roman" w:hAnsi="Times New Roman"/>
      <w:color w:val="000000"/>
      <w:sz w:val="20"/>
      <w:szCs w:val="20"/>
    </w:rPr>
  </w:style>
  <w:style w:type="character" w:customStyle="1" w:styleId="24">
    <w:name w:val="UserStyle_5"/>
    <w:basedOn w:val="8"/>
    <w:link w:val="1"/>
    <w:qFormat/>
    <w:uiPriority w:val="0"/>
    <w:rPr>
      <w:rFonts w:ascii="宋体" w:hAnsi="宋体" w:eastAsia="宋体"/>
      <w:color w:val="FF0000"/>
      <w:sz w:val="28"/>
      <w:szCs w:val="28"/>
    </w:rPr>
  </w:style>
  <w:style w:type="character" w:customStyle="1" w:styleId="25">
    <w:name w:val="UserStyle_6"/>
    <w:basedOn w:val="8"/>
    <w:link w:val="1"/>
    <w:qFormat/>
    <w:uiPriority w:val="0"/>
    <w:rPr>
      <w:rFonts w:ascii="宋体" w:hAnsi="宋体" w:eastAsia="宋体"/>
      <w:color w:val="666699"/>
      <w:sz w:val="28"/>
      <w:szCs w:val="28"/>
    </w:rPr>
  </w:style>
  <w:style w:type="paragraph" w:customStyle="1" w:styleId="26">
    <w:name w:val="UserStyle_7"/>
    <w:qFormat/>
    <w:uiPriority w:val="0"/>
    <w:pPr>
      <w:textAlignment w:val="baseline"/>
    </w:pPr>
    <w:rPr>
      <w:rFonts w:ascii="宋体" w:hAnsi="宋体" w:eastAsia="微软雅黑" w:cstheme="minorBidi"/>
      <w:color w:val="000000"/>
      <w:sz w:val="24"/>
      <w:szCs w:val="24"/>
      <w:lang w:val="en-US" w:eastAsia="zh-CN" w:bidi="ar-SA"/>
    </w:rPr>
  </w:style>
  <w:style w:type="paragraph" w:customStyle="1" w:styleId="27">
    <w:name w:val="WPSOffice手动目录 1"/>
    <w:qFormat/>
    <w:uiPriority w:val="0"/>
    <w:pPr>
      <w:ind w:leftChars="0"/>
    </w:pPr>
    <w:rPr>
      <w:rFonts w:ascii="Times New Roman" w:hAnsi="Times New Roman" w:eastAsia="宋体" w:cstheme="minorBidi"/>
      <w:sz w:val="20"/>
      <w:szCs w:val="20"/>
    </w:rPr>
  </w:style>
  <w:style w:type="paragraph" w:customStyle="1" w:styleId="28">
    <w:name w:val="WPSOffice手动目录 2"/>
    <w:qFormat/>
    <w:uiPriority w:val="0"/>
    <w:pPr>
      <w:ind w:leftChars="200"/>
    </w:pPr>
    <w:rPr>
      <w:rFonts w:ascii="Times New Roman" w:hAnsi="Times New Roman" w:eastAsia="宋体"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header" Target="header4.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ad9353d-16e2-4b31-ad26-c02730d031f1}"/>
        <w:style w:val=""/>
        <w:category>
          <w:name w:val="常规"/>
          <w:gallery w:val="placeholder"/>
        </w:category>
        <w:types>
          <w:type w:val="bbPlcHdr"/>
        </w:types>
        <w:behaviors>
          <w:behavior w:val="content"/>
        </w:behaviors>
        <w:description w:val=""/>
        <w:guid w:val="{4ad9353d-16e2-4b31-ad26-c02730d031f1}"/>
      </w:docPartPr>
      <w:docPartBody>
        <w:p>
          <w:r>
            <w:rPr>
              <w:color w:val="808080"/>
            </w:rPr>
            <w:t>单击此处输入文字。</w:t>
          </w:r>
        </w:p>
      </w:docPartBody>
    </w:docPart>
    <w:docPart>
      <w:docPartPr>
        <w:name w:val="{2e0c4fd0-51d3-4a41-8582-3c5c976afa54}"/>
        <w:style w:val=""/>
        <w:category>
          <w:name w:val="常规"/>
          <w:gallery w:val="placeholder"/>
        </w:category>
        <w:types>
          <w:type w:val="bbPlcHdr"/>
        </w:types>
        <w:behaviors>
          <w:behavior w:val="content"/>
        </w:behaviors>
        <w:description w:val=""/>
        <w:guid w:val="{2e0c4fd0-51d3-4a41-8582-3c5c976afa54}"/>
      </w:docPartPr>
      <w:docPartBody>
        <w:p>
          <w:r>
            <w:rPr>
              <w:color w:val="808080"/>
            </w:rPr>
            <w:t>单击此处输入文字。</w:t>
          </w:r>
        </w:p>
      </w:docPartBody>
    </w:docPart>
    <w:docPart>
      <w:docPartPr>
        <w:name w:val="{8fc5e2bf-214b-4e86-aded-2d7a363581c4}"/>
        <w:style w:val=""/>
        <w:category>
          <w:name w:val="常规"/>
          <w:gallery w:val="placeholder"/>
        </w:category>
        <w:types>
          <w:type w:val="bbPlcHdr"/>
        </w:types>
        <w:behaviors>
          <w:behavior w:val="content"/>
        </w:behaviors>
        <w:description w:val=""/>
        <w:guid w:val="{8fc5e2bf-214b-4e86-aded-2d7a363581c4}"/>
      </w:docPartPr>
      <w:docPartBody>
        <w:p>
          <w:r>
            <w:rPr>
              <w:color w:val="808080"/>
            </w:rPr>
            <w:t>单击此处输入文字。</w:t>
          </w:r>
        </w:p>
      </w:docPartBody>
    </w:docPart>
    <w:docPart>
      <w:docPartPr>
        <w:name w:val="{f9d78b50-9dbb-44a2-b727-2f66400b7466}"/>
        <w:style w:val=""/>
        <w:category>
          <w:name w:val="常规"/>
          <w:gallery w:val="placeholder"/>
        </w:category>
        <w:types>
          <w:type w:val="bbPlcHdr"/>
        </w:types>
        <w:behaviors>
          <w:behavior w:val="content"/>
        </w:behaviors>
        <w:description w:val=""/>
        <w:guid w:val="{f9d78b50-9dbb-44a2-b727-2f66400b7466}"/>
      </w:docPartPr>
      <w:docPartBody>
        <w:p>
          <w:r>
            <w:rPr>
              <w:color w:val="808080"/>
            </w:rPr>
            <w:t>单击此处输入文字。</w:t>
          </w:r>
        </w:p>
      </w:docPartBody>
    </w:docPart>
    <w:docPart>
      <w:docPartPr>
        <w:name w:val="{8b66fb98-1db1-4d8e-b9ca-fcf115a841ba}"/>
        <w:style w:val=""/>
        <w:category>
          <w:name w:val="常规"/>
          <w:gallery w:val="placeholder"/>
        </w:category>
        <w:types>
          <w:type w:val="bbPlcHdr"/>
        </w:types>
        <w:behaviors>
          <w:behavior w:val="content"/>
        </w:behaviors>
        <w:description w:val=""/>
        <w:guid w:val="{8b66fb98-1db1-4d8e-b9ca-fcf115a841ba}"/>
      </w:docPartPr>
      <w:docPartBody>
        <w:p>
          <w:r>
            <w:rPr>
              <w:color w:val="808080"/>
            </w:rPr>
            <w:t>单击此处输入文字。</w:t>
          </w:r>
        </w:p>
      </w:docPartBody>
    </w:docPart>
    <w:docPart>
      <w:docPartPr>
        <w:name w:val="{cbbd592f-5b16-419c-ac73-64be38ab51a8}"/>
        <w:style w:val=""/>
        <w:category>
          <w:name w:val="常规"/>
          <w:gallery w:val="placeholder"/>
        </w:category>
        <w:types>
          <w:type w:val="bbPlcHdr"/>
        </w:types>
        <w:behaviors>
          <w:behavior w:val="content"/>
        </w:behaviors>
        <w:description w:val=""/>
        <w:guid w:val="{cbbd592f-5b16-419c-ac73-64be38ab51a8}"/>
      </w:docPartPr>
      <w:docPartBody>
        <w:p>
          <w:r>
            <w:rPr>
              <w:color w:val="808080"/>
            </w:rPr>
            <w:t>单击此处输入文字。</w:t>
          </w:r>
        </w:p>
      </w:docPartBody>
    </w:docPart>
    <w:docPart>
      <w:docPartPr>
        <w:name w:val="{dc83518e-652b-4ed7-b48b-2dff7989020b}"/>
        <w:style w:val=""/>
        <w:category>
          <w:name w:val="常规"/>
          <w:gallery w:val="placeholder"/>
        </w:category>
        <w:types>
          <w:type w:val="bbPlcHdr"/>
        </w:types>
        <w:behaviors>
          <w:behavior w:val="content"/>
        </w:behaviors>
        <w:description w:val=""/>
        <w:guid w:val="{dc83518e-652b-4ed7-b48b-2dff7989020b}"/>
      </w:docPartPr>
      <w:docPartBody>
        <w:p>
          <w:r>
            <w:rPr>
              <w:color w:val="808080"/>
            </w:rPr>
            <w:t>单击此处输入文字。</w:t>
          </w:r>
        </w:p>
      </w:docPartBody>
    </w:docPart>
    <w:docPart>
      <w:docPartPr>
        <w:name w:val="{ed2b0eca-493c-466a-bdab-c2358a2dbb07}"/>
        <w:style w:val=""/>
        <w:category>
          <w:name w:val="常规"/>
          <w:gallery w:val="placeholder"/>
        </w:category>
        <w:types>
          <w:type w:val="bbPlcHdr"/>
        </w:types>
        <w:behaviors>
          <w:behavior w:val="content"/>
        </w:behaviors>
        <w:description w:val=""/>
        <w:guid w:val="{ed2b0eca-493c-466a-bdab-c2358a2dbb07}"/>
      </w:docPartPr>
      <w:docPartBody>
        <w:p>
          <w:r>
            <w:rPr>
              <w:color w:val="808080"/>
            </w:rPr>
            <w:t>单击此处输入文字。</w:t>
          </w:r>
        </w:p>
      </w:docPartBody>
    </w:docPart>
    <w:docPart>
      <w:docPartPr>
        <w:name w:val="{a0ead0b3-1627-4958-a662-2bd61eee22a2}"/>
        <w:style w:val=""/>
        <w:category>
          <w:name w:val="常规"/>
          <w:gallery w:val="placeholder"/>
        </w:category>
        <w:types>
          <w:type w:val="bbPlcHdr"/>
        </w:types>
        <w:behaviors>
          <w:behavior w:val="content"/>
        </w:behaviors>
        <w:description w:val=""/>
        <w:guid w:val="{a0ead0b3-1627-4958-a662-2bd61eee22a2}"/>
      </w:docPartPr>
      <w:docPartBody>
        <w:p>
          <w:r>
            <w:rPr>
              <w:color w:val="808080"/>
            </w:rPr>
            <w:t>单击此处输入文字。</w:t>
          </w:r>
        </w:p>
      </w:docPartBody>
    </w:docPart>
    <w:docPart>
      <w:docPartPr>
        <w:name w:val="{a86c6fcf-0f64-496d-bcd5-ee60a82bc340}"/>
        <w:style w:val=""/>
        <w:category>
          <w:name w:val="常规"/>
          <w:gallery w:val="placeholder"/>
        </w:category>
        <w:types>
          <w:type w:val="bbPlcHdr"/>
        </w:types>
        <w:behaviors>
          <w:behavior w:val="content"/>
        </w:behaviors>
        <w:description w:val=""/>
        <w:guid w:val="{a86c6fcf-0f64-496d-bcd5-ee60a82bc340}"/>
      </w:docPartPr>
      <w:docPartBody>
        <w:p>
          <w:r>
            <w:rPr>
              <w:color w:val="808080"/>
            </w:rPr>
            <w:t>单击此处输入文字。</w:t>
          </w:r>
        </w:p>
      </w:docPartBody>
    </w:docPart>
    <w:docPart>
      <w:docPartPr>
        <w:name w:val="{444ef7f2-9736-4b9e-b7a2-06c90d14fdb5}"/>
        <w:style w:val=""/>
        <w:category>
          <w:name w:val="常规"/>
          <w:gallery w:val="placeholder"/>
        </w:category>
        <w:types>
          <w:type w:val="bbPlcHdr"/>
        </w:types>
        <w:behaviors>
          <w:behavior w:val="content"/>
        </w:behaviors>
        <w:description w:val=""/>
        <w:guid w:val="{444ef7f2-9736-4b9e-b7a2-06c90d14fdb5}"/>
      </w:docPartPr>
      <w:docPartBody>
        <w:p>
          <w:r>
            <w:rPr>
              <w:color w:val="808080"/>
            </w:rPr>
            <w:t>单击此处输入文字。</w:t>
          </w:r>
        </w:p>
      </w:docPartBody>
    </w:docPart>
    <w:docPart>
      <w:docPartPr>
        <w:name w:val="{fd442fb5-d9ac-45e9-8d2c-076dc322d1a0}"/>
        <w:style w:val=""/>
        <w:category>
          <w:name w:val="常规"/>
          <w:gallery w:val="placeholder"/>
        </w:category>
        <w:types>
          <w:type w:val="bbPlcHdr"/>
        </w:types>
        <w:behaviors>
          <w:behavior w:val="content"/>
        </w:behaviors>
        <w:description w:val=""/>
        <w:guid w:val="{fd442fb5-d9ac-45e9-8d2c-076dc322d1a0}"/>
      </w:docPartPr>
      <w:docPartBody>
        <w:p>
          <w:r>
            <w:rPr>
              <w:color w:val="808080"/>
            </w:rPr>
            <w:t>单击此处输入文字。</w:t>
          </w:r>
        </w:p>
      </w:docPartBody>
    </w:docPart>
    <w:docPart>
      <w:docPartPr>
        <w:name w:val="{32f614d1-11c7-455a-b431-93b381728cad}"/>
        <w:style w:val=""/>
        <w:category>
          <w:name w:val="常规"/>
          <w:gallery w:val="placeholder"/>
        </w:category>
        <w:types>
          <w:type w:val="bbPlcHdr"/>
        </w:types>
        <w:behaviors>
          <w:behavior w:val="content"/>
        </w:behaviors>
        <w:description w:val=""/>
        <w:guid w:val="{32f614d1-11c7-455a-b431-93b381728cad}"/>
      </w:docPartPr>
      <w:docPartBody>
        <w:p>
          <w:r>
            <w:rPr>
              <w:color w:val="808080"/>
            </w:rPr>
            <w:t>单击此处输入文字。</w:t>
          </w:r>
        </w:p>
      </w:docPartBody>
    </w:docPart>
    <w:docPart>
      <w:docPartPr>
        <w:name w:val="{2e06ceb1-2bfc-427a-839a-1e73b5b39cfb}"/>
        <w:style w:val=""/>
        <w:category>
          <w:name w:val="常规"/>
          <w:gallery w:val="placeholder"/>
        </w:category>
        <w:types>
          <w:type w:val="bbPlcHdr"/>
        </w:types>
        <w:behaviors>
          <w:behavior w:val="content"/>
        </w:behaviors>
        <w:description w:val=""/>
        <w:guid w:val="{2e06ceb1-2bfc-427a-839a-1e73b5b39cfb}"/>
      </w:docPartPr>
      <w:docPartBody>
        <w:p>
          <w:r>
            <w:rPr>
              <w:color w:val="808080"/>
            </w:rPr>
            <w:t>单击此处输入文字。</w:t>
          </w:r>
        </w:p>
      </w:docPartBody>
    </w:docPart>
    <w:docPart>
      <w:docPartPr>
        <w:name w:val="{7d45bfbf-ed2e-4701-9232-149087e77297}"/>
        <w:style w:val=""/>
        <w:category>
          <w:name w:val="常规"/>
          <w:gallery w:val="placeholder"/>
        </w:category>
        <w:types>
          <w:type w:val="bbPlcHdr"/>
        </w:types>
        <w:behaviors>
          <w:behavior w:val="content"/>
        </w:behaviors>
        <w:description w:val=""/>
        <w:guid w:val="{7d45bfbf-ed2e-4701-9232-149087e77297}"/>
      </w:docPartPr>
      <w:docPartBody>
        <w:p>
          <w:r>
            <w:rPr>
              <w:color w:val="808080"/>
            </w:rPr>
            <w:t>单击此处输入文字。</w:t>
          </w:r>
        </w:p>
      </w:docPartBody>
    </w:docPart>
    <w:docPart>
      <w:docPartPr>
        <w:name w:val="{f1e290f3-a09c-4607-90e0-b48ab8a6acc8}"/>
        <w:style w:val=""/>
        <w:category>
          <w:name w:val="常规"/>
          <w:gallery w:val="placeholder"/>
        </w:category>
        <w:types>
          <w:type w:val="bbPlcHdr"/>
        </w:types>
        <w:behaviors>
          <w:behavior w:val="content"/>
        </w:behaviors>
        <w:description w:val=""/>
        <w:guid w:val="{f1e290f3-a09c-4607-90e0-b48ab8a6acc8}"/>
      </w:docPartPr>
      <w:docPartBody>
        <w:p>
          <w:r>
            <w:rPr>
              <w:color w:val="808080"/>
            </w:rPr>
            <w:t>单击此处输入文字。</w:t>
          </w:r>
        </w:p>
      </w:docPartBody>
    </w:docPart>
    <w:docPart>
      <w:docPartPr>
        <w:name w:val="{c760003d-9683-48db-b73d-063c204fd8fa}"/>
        <w:style w:val=""/>
        <w:category>
          <w:name w:val="常规"/>
          <w:gallery w:val="placeholder"/>
        </w:category>
        <w:types>
          <w:type w:val="bbPlcHdr"/>
        </w:types>
        <w:behaviors>
          <w:behavior w:val="content"/>
        </w:behaviors>
        <w:description w:val=""/>
        <w:guid w:val="{c760003d-9683-48db-b73d-063c204fd8fa}"/>
      </w:docPartPr>
      <w:docPartBody>
        <w:p>
          <w:r>
            <w:rPr>
              <w:color w:val="808080"/>
            </w:rPr>
            <w:t>单击此处输入文字。</w:t>
          </w:r>
        </w:p>
      </w:docPartBody>
    </w:docPart>
    <w:docPart>
      <w:docPartPr>
        <w:name w:val="{993813c3-3de3-4f72-a46b-a99b94b9c49a}"/>
        <w:style w:val=""/>
        <w:category>
          <w:name w:val="常规"/>
          <w:gallery w:val="placeholder"/>
        </w:category>
        <w:types>
          <w:type w:val="bbPlcHdr"/>
        </w:types>
        <w:behaviors>
          <w:behavior w:val="content"/>
        </w:behaviors>
        <w:description w:val=""/>
        <w:guid w:val="{993813c3-3de3-4f72-a46b-a99b94b9c49a}"/>
      </w:docPartPr>
      <w:docPartBody>
        <w:p>
          <w:r>
            <w:rPr>
              <w:color w:val="808080"/>
            </w:rPr>
            <w:t>单击此处输入文字。</w:t>
          </w:r>
        </w:p>
      </w:docPartBody>
    </w:docPart>
    <w:docPart>
      <w:docPartPr>
        <w:name w:val="{7744818f-28a8-43ff-9ca1-6d7bdbea6529}"/>
        <w:style w:val=""/>
        <w:category>
          <w:name w:val="常规"/>
          <w:gallery w:val="placeholder"/>
        </w:category>
        <w:types>
          <w:type w:val="bbPlcHdr"/>
        </w:types>
        <w:behaviors>
          <w:behavior w:val="content"/>
        </w:behaviors>
        <w:description w:val=""/>
        <w:guid w:val="{7744818f-28a8-43ff-9ca1-6d7bdbea6529}"/>
      </w:docPartPr>
      <w:docPartBody>
        <w:p>
          <w:r>
            <w:rPr>
              <w:color w:val="808080"/>
            </w:rPr>
            <w:t>单击此处输入文字。</w:t>
          </w:r>
        </w:p>
      </w:docPartBody>
    </w:docPart>
    <w:docPart>
      <w:docPartPr>
        <w:name w:val="{ef306694-e498-46db-951a-7336b31689af}"/>
        <w:style w:val=""/>
        <w:category>
          <w:name w:val="常规"/>
          <w:gallery w:val="placeholder"/>
        </w:category>
        <w:types>
          <w:type w:val="bbPlcHdr"/>
        </w:types>
        <w:behaviors>
          <w:behavior w:val="content"/>
        </w:behaviors>
        <w:description w:val=""/>
        <w:guid w:val="{ef306694-e498-46db-951a-7336b31689af}"/>
      </w:docPartPr>
      <w:docPartBody>
        <w:p>
          <w:r>
            <w:rPr>
              <w:color w:val="808080"/>
            </w:rPr>
            <w:t>单击此处输入文字。</w:t>
          </w:r>
        </w:p>
      </w:docPartBody>
    </w:docPart>
    <w:docPart>
      <w:docPartPr>
        <w:name w:val="{49428299-b028-43b2-8257-7b2bea683666}"/>
        <w:style w:val=""/>
        <w:category>
          <w:name w:val="常规"/>
          <w:gallery w:val="placeholder"/>
        </w:category>
        <w:types>
          <w:type w:val="bbPlcHdr"/>
        </w:types>
        <w:behaviors>
          <w:behavior w:val="content"/>
        </w:behaviors>
        <w:description w:val=""/>
        <w:guid w:val="{49428299-b028-43b2-8257-7b2bea683666}"/>
      </w:docPartPr>
      <w:docPartBody>
        <w:p>
          <w:r>
            <w:rPr>
              <w:color w:val="808080"/>
            </w:rPr>
            <w:t>单击此处输入文字。</w:t>
          </w:r>
        </w:p>
      </w:docPartBody>
    </w:docPart>
    <w:docPart>
      <w:docPartPr>
        <w:name w:val="{6d46daa6-e31f-49c5-8737-264ead5c31c9}"/>
        <w:style w:val=""/>
        <w:category>
          <w:name w:val="常规"/>
          <w:gallery w:val="placeholder"/>
        </w:category>
        <w:types>
          <w:type w:val="bbPlcHdr"/>
        </w:types>
        <w:behaviors>
          <w:behavior w:val="content"/>
        </w:behaviors>
        <w:description w:val=""/>
        <w:guid w:val="{6d46daa6-e31f-49c5-8737-264ead5c31c9}"/>
      </w:docPartPr>
      <w:docPartBody>
        <w:p>
          <w:r>
            <w:rPr>
              <w:color w:val="808080"/>
            </w:rPr>
            <w:t>单击此处输入文字。</w:t>
          </w:r>
        </w:p>
      </w:docPartBody>
    </w:docPart>
    <w:docPart>
      <w:docPartPr>
        <w:name w:val="{777cd31c-9f22-4c3c-86e7-6cec022c7451}"/>
        <w:style w:val=""/>
        <w:category>
          <w:name w:val="常规"/>
          <w:gallery w:val="placeholder"/>
        </w:category>
        <w:types>
          <w:type w:val="bbPlcHdr"/>
        </w:types>
        <w:behaviors>
          <w:behavior w:val="content"/>
        </w:behaviors>
        <w:description w:val=""/>
        <w:guid w:val="{777cd31c-9f22-4c3c-86e7-6cec022c7451}"/>
      </w:docPartPr>
      <w:docPartBody>
        <w:p>
          <w:r>
            <w:rPr>
              <w:color w:val="808080"/>
            </w:rPr>
            <w:t>单击此处输入文字。</w:t>
          </w:r>
        </w:p>
      </w:docPartBody>
    </w:docPart>
    <w:docPart>
      <w:docPartPr>
        <w:name w:val="{ae235dc1-8cf7-4fbb-b57b-062d8cd27cb4}"/>
        <w:style w:val=""/>
        <w:category>
          <w:name w:val="常规"/>
          <w:gallery w:val="placeholder"/>
        </w:category>
        <w:types>
          <w:type w:val="bbPlcHdr"/>
        </w:types>
        <w:behaviors>
          <w:behavior w:val="content"/>
        </w:behaviors>
        <w:description w:val=""/>
        <w:guid w:val="{ae235dc1-8cf7-4fbb-b57b-062d8cd27cb4}"/>
      </w:docPartPr>
      <w:docPartBody>
        <w:p>
          <w:r>
            <w:rPr>
              <w:color w:val="808080"/>
            </w:rPr>
            <w:t>单击此处输入文字。</w:t>
          </w:r>
        </w:p>
      </w:docPartBody>
    </w:docPart>
    <w:docPart>
      <w:docPartPr>
        <w:name w:val="{7fb23aeb-5d7d-4fd9-b073-3b31e297a5f3}"/>
        <w:style w:val=""/>
        <w:category>
          <w:name w:val="常规"/>
          <w:gallery w:val="placeholder"/>
        </w:category>
        <w:types>
          <w:type w:val="bbPlcHdr"/>
        </w:types>
        <w:behaviors>
          <w:behavior w:val="content"/>
        </w:behaviors>
        <w:description w:val=""/>
        <w:guid w:val="{7fb23aeb-5d7d-4fd9-b073-3b31e297a5f3}"/>
      </w:docPartPr>
      <w:docPartBody>
        <w:p>
          <w:r>
            <w:rPr>
              <w:color w:val="808080"/>
            </w:rPr>
            <w:t>单击此处输入文字。</w:t>
          </w:r>
        </w:p>
      </w:docPartBody>
    </w:docPart>
    <w:docPart>
      <w:docPartPr>
        <w:name w:val="{2ee635b3-e60f-4b48-babd-7f1022190968}"/>
        <w:style w:val=""/>
        <w:category>
          <w:name w:val="常规"/>
          <w:gallery w:val="placeholder"/>
        </w:category>
        <w:types>
          <w:type w:val="bbPlcHdr"/>
        </w:types>
        <w:behaviors>
          <w:behavior w:val="content"/>
        </w:behaviors>
        <w:description w:val=""/>
        <w:guid w:val="{2ee635b3-e60f-4b48-babd-7f1022190968}"/>
      </w:docPartPr>
      <w:docPartBody>
        <w:p>
          <w:r>
            <w:rPr>
              <w:color w:val="808080"/>
            </w:rPr>
            <w:t>单击此处输入文字。</w:t>
          </w:r>
        </w:p>
      </w:docPartBody>
    </w:docPart>
    <w:docPart>
      <w:docPartPr>
        <w:name w:val="{fd23837d-ccd3-4b7a-90cd-868963680aa0}"/>
        <w:style w:val=""/>
        <w:category>
          <w:name w:val="常规"/>
          <w:gallery w:val="placeholder"/>
        </w:category>
        <w:types>
          <w:type w:val="bbPlcHdr"/>
        </w:types>
        <w:behaviors>
          <w:behavior w:val="content"/>
        </w:behaviors>
        <w:description w:val=""/>
        <w:guid w:val="{fd23837d-ccd3-4b7a-90cd-868963680aa0}"/>
      </w:docPartPr>
      <w:docPartBody>
        <w:p>
          <w:r>
            <w:rPr>
              <w:color w:val="808080"/>
            </w:rPr>
            <w:t>单击此处输入文字。</w:t>
          </w:r>
        </w:p>
      </w:docPartBody>
    </w:docPart>
    <w:docPart>
      <w:docPartPr>
        <w:name w:val="{4395d370-9900-42f2-a59e-5bf3e4df99f3}"/>
        <w:style w:val=""/>
        <w:category>
          <w:name w:val="常规"/>
          <w:gallery w:val="placeholder"/>
        </w:category>
        <w:types>
          <w:type w:val="bbPlcHdr"/>
        </w:types>
        <w:behaviors>
          <w:behavior w:val="content"/>
        </w:behaviors>
        <w:description w:val=""/>
        <w:guid w:val="{4395d370-9900-42f2-a59e-5bf3e4df99f3}"/>
      </w:docPartPr>
      <w:docPartBody>
        <w:p>
          <w:r>
            <w:rPr>
              <w:color w:val="808080"/>
            </w:rPr>
            <w:t>单击此处输入文字。</w:t>
          </w:r>
        </w:p>
      </w:docPartBody>
    </w:docPart>
    <w:docPart>
      <w:docPartPr>
        <w:name w:val="{3e334c5b-cb9d-4fa0-a761-9fa8e5ce0704}"/>
        <w:style w:val=""/>
        <w:category>
          <w:name w:val="常规"/>
          <w:gallery w:val="placeholder"/>
        </w:category>
        <w:types>
          <w:type w:val="bbPlcHdr"/>
        </w:types>
        <w:behaviors>
          <w:behavior w:val="content"/>
        </w:behaviors>
        <w:description w:val=""/>
        <w:guid w:val="{3e334c5b-cb9d-4fa0-a761-9fa8e5ce0704}"/>
      </w:docPartPr>
      <w:docPartBody>
        <w:p>
          <w:r>
            <w:rPr>
              <w:color w:val="808080"/>
            </w:rPr>
            <w:t>单击此处输入文字。</w:t>
          </w:r>
        </w:p>
      </w:docPartBody>
    </w:docPart>
    <w:docPart>
      <w:docPartPr>
        <w:name w:val="{1461d227-e5b0-4d46-a2c6-056b8701bde7}"/>
        <w:style w:val=""/>
        <w:category>
          <w:name w:val="常规"/>
          <w:gallery w:val="placeholder"/>
        </w:category>
        <w:types>
          <w:type w:val="bbPlcHdr"/>
        </w:types>
        <w:behaviors>
          <w:behavior w:val="content"/>
        </w:behaviors>
        <w:description w:val=""/>
        <w:guid w:val="{1461d227-e5b0-4d46-a2c6-056b8701bde7}"/>
      </w:docPartPr>
      <w:docPartBody>
        <w:p>
          <w:r>
            <w:rPr>
              <w:color w:val="808080"/>
            </w:rPr>
            <w:t>单击此处输入文字。</w:t>
          </w:r>
        </w:p>
      </w:docPartBody>
    </w:docPart>
    <w:docPart>
      <w:docPartPr>
        <w:name w:val="{1741f6bc-dcb2-414f-9053-66bd0179779a}"/>
        <w:style w:val=""/>
        <w:category>
          <w:name w:val="常规"/>
          <w:gallery w:val="placeholder"/>
        </w:category>
        <w:types>
          <w:type w:val="bbPlcHdr"/>
        </w:types>
        <w:behaviors>
          <w:behavior w:val="content"/>
        </w:behaviors>
        <w:description w:val=""/>
        <w:guid w:val="{1741f6bc-dcb2-414f-9053-66bd0179779a}"/>
      </w:docPartPr>
      <w:docPartBody>
        <w:p>
          <w:r>
            <w:rPr>
              <w:color w:val="808080"/>
            </w:rPr>
            <w:t>单击此处输入文字。</w:t>
          </w:r>
        </w:p>
      </w:docPartBody>
    </w:docPart>
    <w:docPart>
      <w:docPartPr>
        <w:name w:val="{952f9f70-939e-4596-8a7e-bf60493f1487}"/>
        <w:style w:val=""/>
        <w:category>
          <w:name w:val="常规"/>
          <w:gallery w:val="placeholder"/>
        </w:category>
        <w:types>
          <w:type w:val="bbPlcHdr"/>
        </w:types>
        <w:behaviors>
          <w:behavior w:val="content"/>
        </w:behaviors>
        <w:description w:val=""/>
        <w:guid w:val="{952f9f70-939e-4596-8a7e-bf60493f1487}"/>
      </w:docPartPr>
      <w:docPartBody>
        <w:p>
          <w:r>
            <w:rPr>
              <w:color w:val="808080"/>
            </w:rPr>
            <w:t>单击此处输入文字。</w:t>
          </w:r>
        </w:p>
      </w:docPartBody>
    </w:docPart>
    <w:docPart>
      <w:docPartPr>
        <w:name w:val="{7848c7d0-f10a-4a2f-bf6e-2ac929b4f247}"/>
        <w:style w:val=""/>
        <w:category>
          <w:name w:val="常规"/>
          <w:gallery w:val="placeholder"/>
        </w:category>
        <w:types>
          <w:type w:val="bbPlcHdr"/>
        </w:types>
        <w:behaviors>
          <w:behavior w:val="content"/>
        </w:behaviors>
        <w:description w:val=""/>
        <w:guid w:val="{7848c7d0-f10a-4a2f-bf6e-2ac929b4f247}"/>
      </w:docPartPr>
      <w:docPartBody>
        <w:p>
          <w:r>
            <w:rPr>
              <w:color w:val="808080"/>
            </w:rPr>
            <w:t>单击此处输入文字。</w:t>
          </w:r>
        </w:p>
      </w:docPartBody>
    </w:docPart>
    <w:docPart>
      <w:docPartPr>
        <w:name w:val="{6bfa6ed9-53dc-4a7e-8140-817bff3d1bca}"/>
        <w:style w:val=""/>
        <w:category>
          <w:name w:val="常规"/>
          <w:gallery w:val="placeholder"/>
        </w:category>
        <w:types>
          <w:type w:val="bbPlcHdr"/>
        </w:types>
        <w:behaviors>
          <w:behavior w:val="content"/>
        </w:behaviors>
        <w:description w:val=""/>
        <w:guid w:val="{6bfa6ed9-53dc-4a7e-8140-817bff3d1bca}"/>
      </w:docPartPr>
      <w:docPartBody>
        <w:p>
          <w:r>
            <w:rPr>
              <w:color w:val="808080"/>
            </w:rPr>
            <w:t>单击此处输入文字。</w:t>
          </w:r>
        </w:p>
      </w:docPartBody>
    </w:docPart>
    <w:docPart>
      <w:docPartPr>
        <w:name w:val="{00f72f76-0924-4427-abab-af68fd24379f}"/>
        <w:style w:val=""/>
        <w:category>
          <w:name w:val="常规"/>
          <w:gallery w:val="placeholder"/>
        </w:category>
        <w:types>
          <w:type w:val="bbPlcHdr"/>
        </w:types>
        <w:behaviors>
          <w:behavior w:val="content"/>
        </w:behaviors>
        <w:description w:val=""/>
        <w:guid w:val="{00f72f76-0924-4427-abab-af68fd24379f}"/>
      </w:docPartPr>
      <w:docPartBody>
        <w:p>
          <w:r>
            <w:rPr>
              <w:color w:val="808080"/>
            </w:rPr>
            <w:t>单击此处输入文字。</w:t>
          </w:r>
        </w:p>
      </w:docPartBody>
    </w:docPart>
    <w:docPart>
      <w:docPartPr>
        <w:name w:val="{61753b82-2b52-4b36-b3b4-cd065b0c85cd}"/>
        <w:style w:val=""/>
        <w:category>
          <w:name w:val="常规"/>
          <w:gallery w:val="placeholder"/>
        </w:category>
        <w:types>
          <w:type w:val="bbPlcHdr"/>
        </w:types>
        <w:behaviors>
          <w:behavior w:val="content"/>
        </w:behaviors>
        <w:description w:val=""/>
        <w:guid w:val="{61753b82-2b52-4b36-b3b4-cd065b0c85cd}"/>
      </w:docPartPr>
      <w:docPartBody>
        <w:p>
          <w:r>
            <w:rPr>
              <w:color w:val="808080"/>
            </w:rPr>
            <w:t>单击此处输入文字。</w:t>
          </w:r>
        </w:p>
      </w:docPartBody>
    </w:docPart>
    <w:docPart>
      <w:docPartPr>
        <w:name w:val="{f5f7af59-049c-44a5-aa22-ca6a40cbaaf0}"/>
        <w:style w:val=""/>
        <w:category>
          <w:name w:val="常规"/>
          <w:gallery w:val="placeholder"/>
        </w:category>
        <w:types>
          <w:type w:val="bbPlcHdr"/>
        </w:types>
        <w:behaviors>
          <w:behavior w:val="content"/>
        </w:behaviors>
        <w:description w:val=""/>
        <w:guid w:val="{f5f7af59-049c-44a5-aa22-ca6a40cbaaf0}"/>
      </w:docPartPr>
      <w:docPartBody>
        <w:p>
          <w:r>
            <w:rPr>
              <w:color w:val="808080"/>
            </w:rPr>
            <w:t>单击此处输入文字。</w:t>
          </w:r>
        </w:p>
      </w:docPartBody>
    </w:docPart>
    <w:docPart>
      <w:docPartPr>
        <w:name w:val="{4817b1ed-0981-4840-a7f0-8499d7d05fec}"/>
        <w:style w:val=""/>
        <w:category>
          <w:name w:val="常规"/>
          <w:gallery w:val="placeholder"/>
        </w:category>
        <w:types>
          <w:type w:val="bbPlcHdr"/>
        </w:types>
        <w:behaviors>
          <w:behavior w:val="content"/>
        </w:behaviors>
        <w:description w:val=""/>
        <w:guid w:val="{4817b1ed-0981-4840-a7f0-8499d7d05fec}"/>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5</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2021-09-15T10:25:00Z</dcterms:created>
  <dc:creator>acer</dc:creator>
  <cp:lastModifiedBy> </cp:lastModifiedBy>
  <dcterms:modified xsi:type="dcterms:W3CDTF">2022-11-21T15:56:39Z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